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2B35C" w14:textId="04A49A25" w:rsidR="007932F1" w:rsidRPr="006C633D" w:rsidRDefault="007932F1">
      <w:pPr>
        <w:rPr>
          <w:lang w:val="en-GB"/>
        </w:rPr>
      </w:pPr>
      <w:r w:rsidRPr="006C633D">
        <w:rPr>
          <w:noProof/>
          <w:lang w:val="en-GB" w:eastAsia="en-GB"/>
        </w:rPr>
        <w:drawing>
          <wp:inline distT="0" distB="0" distL="0" distR="0" wp14:anchorId="46A15874" wp14:editId="705908A3">
            <wp:extent cx="4057259" cy="1352062"/>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a:stretch>
                      <a:fillRect/>
                    </a:stretch>
                  </pic:blipFill>
                  <pic:spPr>
                    <a:xfrm>
                      <a:off x="0" y="0"/>
                      <a:ext cx="4119601" cy="1372837"/>
                    </a:xfrm>
                    <a:prstGeom prst="rect">
                      <a:avLst/>
                    </a:prstGeom>
                  </pic:spPr>
                </pic:pic>
              </a:graphicData>
            </a:graphic>
          </wp:inline>
        </w:drawing>
      </w:r>
    </w:p>
    <w:p w14:paraId="303C872D" w14:textId="77777777" w:rsidR="009F00EC" w:rsidRDefault="009F00EC" w:rsidP="009F00EC">
      <w:pPr>
        <w:pStyle w:val="LAMARTRATitle"/>
        <w:rPr>
          <w:rFonts w:eastAsia="Hind"/>
        </w:rPr>
      </w:pPr>
      <w:r>
        <w:rPr>
          <w:rFonts w:eastAsia="Hind"/>
        </w:rPr>
        <w:t>Deliverable D2.1.1</w:t>
      </w:r>
    </w:p>
    <w:p w14:paraId="1D1A8764" w14:textId="77777777" w:rsidR="009F00EC" w:rsidRDefault="009F00EC" w:rsidP="009F00EC">
      <w:pPr>
        <w:pStyle w:val="LAMARTRATitle"/>
        <w:rPr>
          <w:rFonts w:eastAsia="Hind"/>
          <w:sz w:val="44"/>
          <w:szCs w:val="44"/>
        </w:rPr>
      </w:pPr>
      <w:r>
        <w:rPr>
          <w:rFonts w:eastAsia="Hind"/>
          <w:sz w:val="44"/>
          <w:szCs w:val="44"/>
        </w:rPr>
        <w:t xml:space="preserve">Internal research note on case selection/demarcation (salient sectors) </w:t>
      </w:r>
    </w:p>
    <w:p w14:paraId="1DC8CA17" w14:textId="77777777" w:rsidR="009F00EC" w:rsidRDefault="009F00EC" w:rsidP="009F00EC"/>
    <w:tbl>
      <w:tblPr>
        <w:tblW w:w="9052" w:type="dxa"/>
        <w:tblBorders>
          <w:top w:val="single" w:sz="8" w:space="0" w:color="249DA5"/>
          <w:left w:val="single" w:sz="8" w:space="0" w:color="249DA5"/>
          <w:bottom w:val="single" w:sz="8" w:space="0" w:color="249DA5"/>
          <w:right w:val="single" w:sz="8" w:space="0" w:color="249DA5"/>
          <w:insideH w:val="single" w:sz="8" w:space="0" w:color="249DA5"/>
          <w:insideV w:val="single" w:sz="8" w:space="0" w:color="249DA5"/>
        </w:tblBorders>
        <w:tblLayout w:type="fixed"/>
        <w:tblLook w:val="0400" w:firstRow="0" w:lastRow="0" w:firstColumn="0" w:lastColumn="0" w:noHBand="0" w:noVBand="1"/>
      </w:tblPr>
      <w:tblGrid>
        <w:gridCol w:w="4527"/>
        <w:gridCol w:w="4525"/>
      </w:tblGrid>
      <w:tr w:rsidR="009F00EC" w14:paraId="7DA3BAFC" w14:textId="77777777" w:rsidTr="00A82D4F">
        <w:tc>
          <w:tcPr>
            <w:tcW w:w="4527" w:type="dxa"/>
          </w:tcPr>
          <w:p w14:paraId="3AFDA820" w14:textId="77777777" w:rsidR="009F00EC" w:rsidRDefault="009F00EC" w:rsidP="00A82D4F">
            <w:pPr>
              <w:spacing w:before="120" w:after="120"/>
              <w:rPr>
                <w:b/>
                <w:sz w:val="22"/>
                <w:szCs w:val="22"/>
              </w:rPr>
            </w:pPr>
            <w:r>
              <w:rPr>
                <w:rFonts w:ascii="Arial" w:eastAsia="Arial" w:hAnsi="Arial" w:cs="Arial"/>
                <w:b/>
                <w:color w:val="000000"/>
                <w:sz w:val="22"/>
                <w:szCs w:val="22"/>
                <w:highlight w:val="white"/>
              </w:rPr>
              <w:t>Lead beneficiary</w:t>
            </w:r>
          </w:p>
        </w:tc>
        <w:tc>
          <w:tcPr>
            <w:tcW w:w="4525" w:type="dxa"/>
          </w:tcPr>
          <w:p w14:paraId="3027B050" w14:textId="77777777" w:rsidR="009F00EC" w:rsidRPr="00627A4D" w:rsidRDefault="009F00EC" w:rsidP="00A82D4F">
            <w:pPr>
              <w:spacing w:before="120" w:after="120"/>
              <w:rPr>
                <w:rFonts w:ascii="Arial" w:hAnsi="Arial" w:cs="Arial"/>
              </w:rPr>
            </w:pPr>
            <w:r>
              <w:rPr>
                <w:rFonts w:ascii="Arial" w:hAnsi="Arial" w:cs="Arial"/>
              </w:rPr>
              <w:t>Université L</w:t>
            </w:r>
            <w:r w:rsidRPr="00627A4D">
              <w:rPr>
                <w:rFonts w:ascii="Arial" w:hAnsi="Arial" w:cs="Arial"/>
              </w:rPr>
              <w:t>ibre de Bruxelles (ULB)</w:t>
            </w:r>
          </w:p>
        </w:tc>
      </w:tr>
      <w:tr w:rsidR="009F00EC" w14:paraId="75C6A5BD" w14:textId="77777777" w:rsidTr="00A82D4F">
        <w:tc>
          <w:tcPr>
            <w:tcW w:w="4527" w:type="dxa"/>
          </w:tcPr>
          <w:p w14:paraId="0D495228" w14:textId="77777777" w:rsidR="009F00EC" w:rsidRDefault="009F00EC" w:rsidP="00A82D4F">
            <w:pPr>
              <w:spacing w:before="120" w:after="120"/>
              <w:rPr>
                <w:b/>
                <w:sz w:val="22"/>
                <w:szCs w:val="22"/>
              </w:rPr>
            </w:pPr>
            <w:r>
              <w:rPr>
                <w:rFonts w:ascii="Arial" w:eastAsia="Arial" w:hAnsi="Arial" w:cs="Arial"/>
                <w:b/>
                <w:color w:val="000000"/>
                <w:sz w:val="22"/>
                <w:szCs w:val="22"/>
                <w:highlight w:val="white"/>
              </w:rPr>
              <w:t xml:space="preserve">Authors </w:t>
            </w:r>
          </w:p>
        </w:tc>
        <w:tc>
          <w:tcPr>
            <w:tcW w:w="4525" w:type="dxa"/>
          </w:tcPr>
          <w:p w14:paraId="50E17EB4" w14:textId="64CF9570" w:rsidR="009F00EC" w:rsidRPr="00627A4D" w:rsidRDefault="009F00EC" w:rsidP="005B1D30">
            <w:pPr>
              <w:spacing w:before="120" w:after="120"/>
              <w:rPr>
                <w:rFonts w:ascii="Arial" w:hAnsi="Arial" w:cs="Arial"/>
              </w:rPr>
            </w:pPr>
            <w:r>
              <w:rPr>
                <w:rFonts w:ascii="Arial" w:hAnsi="Arial" w:cs="Arial"/>
              </w:rPr>
              <w:t>Bonno Pel, Aurore Fransolet,</w:t>
            </w:r>
            <w:r w:rsidRPr="0062087C">
              <w:rPr>
                <w:rFonts w:ascii="Arial" w:hAnsi="Arial" w:cs="Arial"/>
              </w:rPr>
              <w:t xml:space="preserve"> </w:t>
            </w:r>
            <w:r>
              <w:rPr>
                <w:rFonts w:ascii="Arial" w:hAnsi="Arial" w:cs="Arial"/>
              </w:rPr>
              <w:t xml:space="preserve">Pierre Delvenne, Mikkel Barslund, Vincent Calay, </w:t>
            </w:r>
            <w:r w:rsidR="005B1D30">
              <w:rPr>
                <w:rFonts w:ascii="Arial" w:hAnsi="Arial" w:cs="Arial"/>
              </w:rPr>
              <w:t>C</w:t>
            </w:r>
            <w:r w:rsidR="005B1D30" w:rsidRPr="00772B84">
              <w:rPr>
                <w:rFonts w:ascii="Arial" w:hAnsi="Arial" w:cs="Arial"/>
              </w:rPr>
              <w:t>é</w:t>
            </w:r>
            <w:r w:rsidR="005B1D30">
              <w:rPr>
                <w:rFonts w:ascii="Arial" w:hAnsi="Arial" w:cs="Arial"/>
              </w:rPr>
              <w:t xml:space="preserve">line Parotte, </w:t>
            </w:r>
            <w:r>
              <w:rPr>
                <w:rFonts w:ascii="Arial" w:hAnsi="Arial" w:cs="Arial"/>
              </w:rPr>
              <w:t>Ka</w:t>
            </w:r>
            <w:r w:rsidR="005B1D30">
              <w:rPr>
                <w:rFonts w:ascii="Arial" w:hAnsi="Arial" w:cs="Arial"/>
              </w:rPr>
              <w:t>rolien Lenaerts, Sarah Delvaux</w:t>
            </w:r>
            <w:r>
              <w:rPr>
                <w:rFonts w:ascii="Arial" w:hAnsi="Arial" w:cs="Arial"/>
              </w:rPr>
              <w:t>, Isabelle Ferreras</w:t>
            </w:r>
          </w:p>
        </w:tc>
      </w:tr>
      <w:tr w:rsidR="009F00EC" w14:paraId="0130837D" w14:textId="77777777" w:rsidTr="00A82D4F">
        <w:tc>
          <w:tcPr>
            <w:tcW w:w="4527" w:type="dxa"/>
          </w:tcPr>
          <w:p w14:paraId="60D14882" w14:textId="77777777" w:rsidR="009F00EC" w:rsidRPr="0062087C" w:rsidRDefault="009F00EC" w:rsidP="00A82D4F">
            <w:pPr>
              <w:spacing w:before="120" w:after="120"/>
              <w:rPr>
                <w:rFonts w:ascii="Arial" w:eastAsia="Arial" w:hAnsi="Arial" w:cs="Arial"/>
                <w:b/>
                <w:color w:val="000000"/>
                <w:sz w:val="22"/>
                <w:szCs w:val="22"/>
              </w:rPr>
            </w:pPr>
            <w:r w:rsidRPr="0062087C">
              <w:rPr>
                <w:rFonts w:ascii="Arial" w:eastAsia="Arial" w:hAnsi="Arial" w:cs="Arial"/>
                <w:b/>
                <w:color w:val="000000"/>
                <w:sz w:val="22"/>
                <w:szCs w:val="22"/>
              </w:rPr>
              <w:t>Submission date</w:t>
            </w:r>
          </w:p>
        </w:tc>
        <w:tc>
          <w:tcPr>
            <w:tcW w:w="4525" w:type="dxa"/>
          </w:tcPr>
          <w:p w14:paraId="57D77F03" w14:textId="77777777" w:rsidR="009F00EC" w:rsidRPr="0062087C" w:rsidRDefault="009F00EC" w:rsidP="00A82D4F">
            <w:pPr>
              <w:spacing w:before="120" w:after="120"/>
              <w:rPr>
                <w:rFonts w:ascii="Arial" w:hAnsi="Arial" w:cs="Arial"/>
              </w:rPr>
            </w:pPr>
            <w:r w:rsidRPr="0062087C">
              <w:rPr>
                <w:rFonts w:ascii="Arial" w:hAnsi="Arial" w:cs="Arial"/>
              </w:rPr>
              <w:t>30/04/2022</w:t>
            </w:r>
          </w:p>
        </w:tc>
      </w:tr>
      <w:tr w:rsidR="009F00EC" w14:paraId="79892BA2" w14:textId="77777777" w:rsidTr="00A82D4F">
        <w:tc>
          <w:tcPr>
            <w:tcW w:w="4527" w:type="dxa"/>
          </w:tcPr>
          <w:p w14:paraId="3D310D61" w14:textId="77777777" w:rsidR="009F00EC" w:rsidRDefault="009F00EC" w:rsidP="00A82D4F">
            <w:pPr>
              <w:spacing w:before="120" w:after="120"/>
              <w:rPr>
                <w:b/>
                <w:sz w:val="22"/>
                <w:szCs w:val="22"/>
              </w:rPr>
            </w:pPr>
            <w:r>
              <w:rPr>
                <w:rFonts w:ascii="Arial" w:eastAsia="Arial" w:hAnsi="Arial" w:cs="Arial"/>
                <w:b/>
                <w:color w:val="000000"/>
                <w:sz w:val="22"/>
                <w:szCs w:val="22"/>
                <w:highlight w:val="white"/>
              </w:rPr>
              <w:t>Dissemination level</w:t>
            </w:r>
          </w:p>
        </w:tc>
        <w:tc>
          <w:tcPr>
            <w:tcW w:w="4525" w:type="dxa"/>
          </w:tcPr>
          <w:p w14:paraId="1DDB1A35" w14:textId="77777777" w:rsidR="009F00EC" w:rsidRPr="00627A4D" w:rsidRDefault="009F00EC" w:rsidP="00A82D4F">
            <w:pPr>
              <w:spacing w:before="120" w:after="120"/>
              <w:rPr>
                <w:rFonts w:ascii="Arial" w:hAnsi="Arial" w:cs="Arial"/>
              </w:rPr>
            </w:pPr>
            <w:r w:rsidRPr="00627A4D">
              <w:rPr>
                <w:rFonts w:ascii="Arial" w:hAnsi="Arial" w:cs="Arial"/>
              </w:rPr>
              <w:t>Public</w:t>
            </w:r>
          </w:p>
        </w:tc>
      </w:tr>
      <w:tr w:rsidR="009F00EC" w14:paraId="67EC0DB1" w14:textId="77777777" w:rsidTr="00A82D4F">
        <w:tc>
          <w:tcPr>
            <w:tcW w:w="4527" w:type="dxa"/>
          </w:tcPr>
          <w:p w14:paraId="1E5BD187" w14:textId="77777777" w:rsidR="009F00EC" w:rsidRDefault="009F00EC" w:rsidP="00A82D4F">
            <w:pPr>
              <w:spacing w:before="120" w:after="120"/>
              <w:rPr>
                <w:b/>
                <w:sz w:val="22"/>
                <w:szCs w:val="22"/>
              </w:rPr>
            </w:pPr>
            <w:r>
              <w:rPr>
                <w:rFonts w:ascii="Arial" w:eastAsia="Arial" w:hAnsi="Arial" w:cs="Arial"/>
                <w:b/>
                <w:color w:val="000000"/>
                <w:sz w:val="22"/>
                <w:szCs w:val="22"/>
                <w:highlight w:val="white"/>
              </w:rPr>
              <w:t>Keywords</w:t>
            </w:r>
          </w:p>
        </w:tc>
        <w:tc>
          <w:tcPr>
            <w:tcW w:w="4525" w:type="dxa"/>
          </w:tcPr>
          <w:p w14:paraId="4381DC45" w14:textId="77777777" w:rsidR="009F00EC" w:rsidRPr="00627A4D" w:rsidRDefault="009F00EC" w:rsidP="00A82D4F">
            <w:pPr>
              <w:spacing w:before="120" w:after="120"/>
              <w:rPr>
                <w:rFonts w:ascii="Arial" w:hAnsi="Arial" w:cs="Arial"/>
              </w:rPr>
            </w:pPr>
            <w:r w:rsidRPr="00627A4D">
              <w:rPr>
                <w:rFonts w:ascii="Arial" w:hAnsi="Arial" w:cs="Arial"/>
              </w:rPr>
              <w:t xml:space="preserve">Case study, </w:t>
            </w:r>
            <w:r>
              <w:rPr>
                <w:rFonts w:ascii="Arial" w:hAnsi="Arial" w:cs="Arial"/>
              </w:rPr>
              <w:t xml:space="preserve">case selection, </w:t>
            </w:r>
            <w:r w:rsidRPr="00627A4D">
              <w:rPr>
                <w:rFonts w:ascii="Arial" w:hAnsi="Arial" w:cs="Arial"/>
              </w:rPr>
              <w:t xml:space="preserve">sustainability transitions, </w:t>
            </w:r>
            <w:r>
              <w:rPr>
                <w:rFonts w:ascii="Arial" w:hAnsi="Arial" w:cs="Arial"/>
              </w:rPr>
              <w:t xml:space="preserve">decarbonization, labour market </w:t>
            </w:r>
          </w:p>
        </w:tc>
      </w:tr>
    </w:tbl>
    <w:p w14:paraId="65D63C34" w14:textId="77777777" w:rsidR="009F00EC" w:rsidRDefault="009F00EC" w:rsidP="009F00EC">
      <w:pPr>
        <w:sectPr w:rsidR="009F00EC">
          <w:footerReference w:type="default" r:id="rId9"/>
          <w:footerReference w:type="first" r:id="rId10"/>
          <w:pgSz w:w="11906" w:h="16838"/>
          <w:pgMar w:top="1417" w:right="1417" w:bottom="1417" w:left="1417" w:header="708" w:footer="708" w:gutter="0"/>
          <w:pgNumType w:start="1"/>
          <w:cols w:space="720"/>
        </w:sectPr>
      </w:pPr>
    </w:p>
    <w:p w14:paraId="66D08F39" w14:textId="77777777" w:rsidR="009F00EC" w:rsidRDefault="009F00EC" w:rsidP="003D45CC">
      <w:pPr>
        <w:pStyle w:val="LAMARTRAHeading1"/>
        <w:rPr>
          <w:rFonts w:eastAsia="Hind"/>
        </w:rPr>
      </w:pPr>
      <w:bookmarkStart w:id="0" w:name="_Toc101099953"/>
      <w:r>
        <w:rPr>
          <w:rFonts w:eastAsia="Hind"/>
        </w:rPr>
        <w:lastRenderedPageBreak/>
        <w:t>Summary</w:t>
      </w:r>
      <w:bookmarkEnd w:id="0"/>
    </w:p>
    <w:p w14:paraId="6A1372F8" w14:textId="77777777" w:rsidR="009F00EC" w:rsidRDefault="009F00EC" w:rsidP="009F00EC">
      <w:pPr>
        <w:jc w:val="both"/>
      </w:pPr>
      <w:r>
        <w:t xml:space="preserve">This deliverable presents the results of consortium discussions on case selection, case demarcation and empirical research. It identifies project-level and work package-specific criteria and considerations on this issues. The document presents a framework to ensure convergence across work packages. It serves as </w:t>
      </w:r>
      <w:proofErr w:type="gramStart"/>
      <w:r>
        <w:t>a</w:t>
      </w:r>
      <w:proofErr w:type="gramEnd"/>
      <w:r>
        <w:t xml:space="preserve"> point of reference for the further development of methodological protocols and case study guidelines in the first half of 2022. </w:t>
      </w:r>
    </w:p>
    <w:p w14:paraId="072E7834" w14:textId="77777777" w:rsidR="009F00EC" w:rsidRDefault="009F00EC" w:rsidP="009F00EC"/>
    <w:p w14:paraId="1CC609C8" w14:textId="77777777" w:rsidR="009F00EC" w:rsidRDefault="009F00EC" w:rsidP="009F00EC"/>
    <w:p w14:paraId="7471FB8B" w14:textId="77777777" w:rsidR="009F00EC" w:rsidRDefault="009F00EC" w:rsidP="009F00EC">
      <w:pPr>
        <w:rPr>
          <w:rFonts w:ascii="Hind" w:eastAsia="Hind" w:hAnsi="Hind" w:cs="Hind"/>
          <w:b/>
          <w:bCs/>
          <w:color w:val="115868"/>
          <w:kern w:val="36"/>
          <w:sz w:val="32"/>
          <w:szCs w:val="32"/>
          <w:lang w:eastAsia="fr-FR"/>
        </w:rPr>
      </w:pPr>
      <w:r>
        <w:rPr>
          <w:rFonts w:ascii="Hind" w:eastAsia="Hind" w:hAnsi="Hind" w:cs="Hind"/>
          <w:color w:val="115868"/>
          <w:sz w:val="32"/>
          <w:szCs w:val="32"/>
        </w:rPr>
        <w:br w:type="page"/>
      </w:r>
    </w:p>
    <w:p w14:paraId="53CC050C" w14:textId="77777777" w:rsidR="009F00EC" w:rsidRDefault="009F00EC" w:rsidP="009F00EC">
      <w:pPr>
        <w:pStyle w:val="LAMARTRAHeading1"/>
        <w:rPr>
          <w:rFonts w:eastAsia="Hind"/>
        </w:rPr>
      </w:pPr>
      <w:bookmarkStart w:id="1" w:name="_Toc101099954"/>
      <w:r>
        <w:rPr>
          <w:rFonts w:eastAsia="Hind"/>
        </w:rPr>
        <w:lastRenderedPageBreak/>
        <w:t>Table of contents</w:t>
      </w:r>
      <w:bookmarkEnd w:id="1"/>
    </w:p>
    <w:p w14:paraId="54EA7972" w14:textId="77777777" w:rsidR="009F00EC" w:rsidRDefault="009F00EC" w:rsidP="009F00EC">
      <w:pPr>
        <w:pStyle w:val="Heading1"/>
        <w:rPr>
          <w:rFonts w:ascii="Hind" w:eastAsia="Hind" w:hAnsi="Hind" w:cs="Hind"/>
          <w:color w:val="115868"/>
          <w:sz w:val="32"/>
          <w:szCs w:val="32"/>
        </w:rPr>
      </w:pPr>
    </w:p>
    <w:sdt>
      <w:sdtPr>
        <w:rPr>
          <w:rFonts w:asciiTheme="minorHAnsi" w:eastAsiaTheme="minorHAnsi" w:hAnsiTheme="minorHAnsi" w:cstheme="minorBidi"/>
          <w:color w:val="auto"/>
          <w:sz w:val="24"/>
          <w:szCs w:val="24"/>
          <w:lang w:val="fr-BE"/>
        </w:rPr>
        <w:id w:val="-1631382817"/>
        <w:docPartObj>
          <w:docPartGallery w:val="Table of Contents"/>
          <w:docPartUnique/>
        </w:docPartObj>
      </w:sdtPr>
      <w:sdtEndPr>
        <w:rPr>
          <w:b/>
          <w:bCs/>
          <w:noProof/>
        </w:rPr>
      </w:sdtEndPr>
      <w:sdtContent>
        <w:p w14:paraId="4241ED52" w14:textId="77777777" w:rsidR="009F00EC" w:rsidRDefault="009F00EC" w:rsidP="009F00EC">
          <w:pPr>
            <w:pStyle w:val="TOCHeading"/>
          </w:pPr>
        </w:p>
        <w:p w14:paraId="0A912F31" w14:textId="77777777" w:rsidR="005B1D30" w:rsidRDefault="009F00EC">
          <w:pPr>
            <w:pStyle w:val="TOC1"/>
            <w:tabs>
              <w:tab w:val="right" w:leader="dot" w:pos="9062"/>
            </w:tabs>
            <w:rPr>
              <w:rFonts w:asciiTheme="minorHAnsi" w:eastAsiaTheme="minorEastAsia" w:hAnsiTheme="minorHAnsi" w:cstheme="minorBidi"/>
              <w:noProof/>
              <w:sz w:val="22"/>
              <w:szCs w:val="22"/>
            </w:rPr>
          </w:pPr>
          <w:r>
            <w:rPr>
              <w:b/>
              <w:bCs/>
              <w:noProof/>
            </w:rPr>
            <w:fldChar w:fldCharType="begin"/>
          </w:r>
          <w:r>
            <w:rPr>
              <w:b/>
              <w:bCs/>
              <w:noProof/>
            </w:rPr>
            <w:instrText xml:space="preserve"> TOC \h \z \t "LAMARTRA Heading 1,1,LAMARTRA Heading 2,2,LAMARTRA heading 3,3,LAMARTRA Heading 4,4" </w:instrText>
          </w:r>
          <w:r>
            <w:rPr>
              <w:b/>
              <w:bCs/>
              <w:noProof/>
            </w:rPr>
            <w:fldChar w:fldCharType="separate"/>
          </w:r>
          <w:hyperlink w:anchor="_Toc101099953" w:history="1">
            <w:r w:rsidR="005B1D30" w:rsidRPr="00FF1346">
              <w:rPr>
                <w:rStyle w:val="Hyperlink"/>
                <w:rFonts w:eastAsia="Hind"/>
                <w:noProof/>
              </w:rPr>
              <w:t>Summary</w:t>
            </w:r>
            <w:r w:rsidR="005B1D30">
              <w:rPr>
                <w:noProof/>
                <w:webHidden/>
              </w:rPr>
              <w:tab/>
            </w:r>
            <w:r w:rsidR="005B1D30">
              <w:rPr>
                <w:noProof/>
                <w:webHidden/>
              </w:rPr>
              <w:fldChar w:fldCharType="begin"/>
            </w:r>
            <w:r w:rsidR="005B1D30">
              <w:rPr>
                <w:noProof/>
                <w:webHidden/>
              </w:rPr>
              <w:instrText xml:space="preserve"> PAGEREF _Toc101099953 \h </w:instrText>
            </w:r>
            <w:r w:rsidR="005B1D30">
              <w:rPr>
                <w:noProof/>
                <w:webHidden/>
              </w:rPr>
            </w:r>
            <w:r w:rsidR="005B1D30">
              <w:rPr>
                <w:noProof/>
                <w:webHidden/>
              </w:rPr>
              <w:fldChar w:fldCharType="separate"/>
            </w:r>
            <w:r w:rsidR="005B1D30">
              <w:rPr>
                <w:noProof/>
                <w:webHidden/>
              </w:rPr>
              <w:t>2</w:t>
            </w:r>
            <w:r w:rsidR="005B1D30">
              <w:rPr>
                <w:noProof/>
                <w:webHidden/>
              </w:rPr>
              <w:fldChar w:fldCharType="end"/>
            </w:r>
          </w:hyperlink>
        </w:p>
        <w:p w14:paraId="7ECC33EE" w14:textId="77777777" w:rsidR="005B1D30" w:rsidRDefault="00636AA3">
          <w:pPr>
            <w:pStyle w:val="TOC1"/>
            <w:tabs>
              <w:tab w:val="right" w:leader="dot" w:pos="9062"/>
            </w:tabs>
            <w:rPr>
              <w:rFonts w:asciiTheme="minorHAnsi" w:eastAsiaTheme="minorEastAsia" w:hAnsiTheme="minorHAnsi" w:cstheme="minorBidi"/>
              <w:noProof/>
              <w:sz w:val="22"/>
              <w:szCs w:val="22"/>
            </w:rPr>
          </w:pPr>
          <w:hyperlink w:anchor="_Toc101099954" w:history="1">
            <w:r w:rsidR="005B1D30" w:rsidRPr="00FF1346">
              <w:rPr>
                <w:rStyle w:val="Hyperlink"/>
                <w:rFonts w:eastAsia="Hind"/>
                <w:noProof/>
              </w:rPr>
              <w:t>Table of contents</w:t>
            </w:r>
            <w:r w:rsidR="005B1D30">
              <w:rPr>
                <w:noProof/>
                <w:webHidden/>
              </w:rPr>
              <w:tab/>
            </w:r>
            <w:r w:rsidR="005B1D30">
              <w:rPr>
                <w:noProof/>
                <w:webHidden/>
              </w:rPr>
              <w:fldChar w:fldCharType="begin"/>
            </w:r>
            <w:r w:rsidR="005B1D30">
              <w:rPr>
                <w:noProof/>
                <w:webHidden/>
              </w:rPr>
              <w:instrText xml:space="preserve"> PAGEREF _Toc101099954 \h </w:instrText>
            </w:r>
            <w:r w:rsidR="005B1D30">
              <w:rPr>
                <w:noProof/>
                <w:webHidden/>
              </w:rPr>
            </w:r>
            <w:r w:rsidR="005B1D30">
              <w:rPr>
                <w:noProof/>
                <w:webHidden/>
              </w:rPr>
              <w:fldChar w:fldCharType="separate"/>
            </w:r>
            <w:r w:rsidR="005B1D30">
              <w:rPr>
                <w:noProof/>
                <w:webHidden/>
              </w:rPr>
              <w:t>3</w:t>
            </w:r>
            <w:r w:rsidR="005B1D30">
              <w:rPr>
                <w:noProof/>
                <w:webHidden/>
              </w:rPr>
              <w:fldChar w:fldCharType="end"/>
            </w:r>
          </w:hyperlink>
        </w:p>
        <w:p w14:paraId="7AF12196" w14:textId="77777777" w:rsidR="005B1D30" w:rsidRDefault="00636AA3">
          <w:pPr>
            <w:pStyle w:val="TOC1"/>
            <w:tabs>
              <w:tab w:val="right" w:leader="dot" w:pos="9062"/>
            </w:tabs>
            <w:rPr>
              <w:rFonts w:asciiTheme="minorHAnsi" w:eastAsiaTheme="minorEastAsia" w:hAnsiTheme="minorHAnsi" w:cstheme="minorBidi"/>
              <w:noProof/>
              <w:sz w:val="22"/>
              <w:szCs w:val="22"/>
            </w:rPr>
          </w:pPr>
          <w:hyperlink w:anchor="_Toc101099955" w:history="1">
            <w:r w:rsidR="005B1D30" w:rsidRPr="00FF1346">
              <w:rPr>
                <w:rStyle w:val="Hyperlink"/>
                <w:rFonts w:eastAsia="Hind"/>
                <w:noProof/>
              </w:rPr>
              <w:t>Table of Figures</w:t>
            </w:r>
            <w:r w:rsidR="005B1D30">
              <w:rPr>
                <w:noProof/>
                <w:webHidden/>
              </w:rPr>
              <w:tab/>
            </w:r>
            <w:r w:rsidR="005B1D30">
              <w:rPr>
                <w:noProof/>
                <w:webHidden/>
              </w:rPr>
              <w:fldChar w:fldCharType="begin"/>
            </w:r>
            <w:r w:rsidR="005B1D30">
              <w:rPr>
                <w:noProof/>
                <w:webHidden/>
              </w:rPr>
              <w:instrText xml:space="preserve"> PAGEREF _Toc101099955 \h </w:instrText>
            </w:r>
            <w:r w:rsidR="005B1D30">
              <w:rPr>
                <w:noProof/>
                <w:webHidden/>
              </w:rPr>
            </w:r>
            <w:r w:rsidR="005B1D30">
              <w:rPr>
                <w:noProof/>
                <w:webHidden/>
              </w:rPr>
              <w:fldChar w:fldCharType="separate"/>
            </w:r>
            <w:r w:rsidR="005B1D30">
              <w:rPr>
                <w:noProof/>
                <w:webHidden/>
              </w:rPr>
              <w:t>3</w:t>
            </w:r>
            <w:r w:rsidR="005B1D30">
              <w:rPr>
                <w:noProof/>
                <w:webHidden/>
              </w:rPr>
              <w:fldChar w:fldCharType="end"/>
            </w:r>
          </w:hyperlink>
        </w:p>
        <w:p w14:paraId="0FA28449" w14:textId="77777777" w:rsidR="005B1D30" w:rsidRDefault="00636AA3">
          <w:pPr>
            <w:pStyle w:val="TOC1"/>
            <w:tabs>
              <w:tab w:val="left" w:pos="440"/>
              <w:tab w:val="right" w:leader="dot" w:pos="9062"/>
            </w:tabs>
            <w:rPr>
              <w:rFonts w:asciiTheme="minorHAnsi" w:eastAsiaTheme="minorEastAsia" w:hAnsiTheme="minorHAnsi" w:cstheme="minorBidi"/>
              <w:noProof/>
              <w:sz w:val="22"/>
              <w:szCs w:val="22"/>
            </w:rPr>
          </w:pPr>
          <w:hyperlink w:anchor="_Toc101099956" w:history="1">
            <w:r w:rsidR="005B1D30" w:rsidRPr="00FF1346">
              <w:rPr>
                <w:rStyle w:val="Hyperlink"/>
                <w:rFonts w:eastAsia="Hind"/>
                <w:noProof/>
              </w:rPr>
              <w:t>1</w:t>
            </w:r>
            <w:r w:rsidR="005B1D30">
              <w:rPr>
                <w:rFonts w:asciiTheme="minorHAnsi" w:eastAsiaTheme="minorEastAsia" w:hAnsiTheme="minorHAnsi" w:cstheme="minorBidi"/>
                <w:noProof/>
                <w:sz w:val="22"/>
                <w:szCs w:val="22"/>
              </w:rPr>
              <w:tab/>
            </w:r>
            <w:r w:rsidR="005B1D30" w:rsidRPr="00FF1346">
              <w:rPr>
                <w:rStyle w:val="Hyperlink"/>
                <w:rFonts w:eastAsia="Hind"/>
                <w:noProof/>
              </w:rPr>
              <w:t>Introduction</w:t>
            </w:r>
            <w:r w:rsidR="005B1D30">
              <w:rPr>
                <w:noProof/>
                <w:webHidden/>
              </w:rPr>
              <w:tab/>
            </w:r>
            <w:r w:rsidR="005B1D30">
              <w:rPr>
                <w:noProof/>
                <w:webHidden/>
              </w:rPr>
              <w:fldChar w:fldCharType="begin"/>
            </w:r>
            <w:r w:rsidR="005B1D30">
              <w:rPr>
                <w:noProof/>
                <w:webHidden/>
              </w:rPr>
              <w:instrText xml:space="preserve"> PAGEREF _Toc101099956 \h </w:instrText>
            </w:r>
            <w:r w:rsidR="005B1D30">
              <w:rPr>
                <w:noProof/>
                <w:webHidden/>
              </w:rPr>
            </w:r>
            <w:r w:rsidR="005B1D30">
              <w:rPr>
                <w:noProof/>
                <w:webHidden/>
              </w:rPr>
              <w:fldChar w:fldCharType="separate"/>
            </w:r>
            <w:r w:rsidR="005B1D30">
              <w:rPr>
                <w:noProof/>
                <w:webHidden/>
              </w:rPr>
              <w:t>4</w:t>
            </w:r>
            <w:r w:rsidR="005B1D30">
              <w:rPr>
                <w:noProof/>
                <w:webHidden/>
              </w:rPr>
              <w:fldChar w:fldCharType="end"/>
            </w:r>
          </w:hyperlink>
        </w:p>
        <w:p w14:paraId="68B9A3AF" w14:textId="77777777" w:rsidR="005B1D30" w:rsidRDefault="00636AA3">
          <w:pPr>
            <w:pStyle w:val="TOC1"/>
            <w:tabs>
              <w:tab w:val="left" w:pos="440"/>
              <w:tab w:val="right" w:leader="dot" w:pos="9062"/>
            </w:tabs>
            <w:rPr>
              <w:rFonts w:asciiTheme="minorHAnsi" w:eastAsiaTheme="minorEastAsia" w:hAnsiTheme="minorHAnsi" w:cstheme="minorBidi"/>
              <w:noProof/>
              <w:sz w:val="22"/>
              <w:szCs w:val="22"/>
            </w:rPr>
          </w:pPr>
          <w:hyperlink w:anchor="_Toc101099957" w:history="1">
            <w:r w:rsidR="005B1D30" w:rsidRPr="00FF1346">
              <w:rPr>
                <w:rStyle w:val="Hyperlink"/>
                <w:rFonts w:eastAsia="Hind"/>
                <w:noProof/>
              </w:rPr>
              <w:t>2</w:t>
            </w:r>
            <w:r w:rsidR="005B1D30">
              <w:rPr>
                <w:rFonts w:asciiTheme="minorHAnsi" w:eastAsiaTheme="minorEastAsia" w:hAnsiTheme="minorHAnsi" w:cstheme="minorBidi"/>
                <w:noProof/>
                <w:sz w:val="22"/>
                <w:szCs w:val="22"/>
              </w:rPr>
              <w:tab/>
            </w:r>
            <w:r w:rsidR="005B1D30" w:rsidRPr="00FF1346">
              <w:rPr>
                <w:rStyle w:val="Hyperlink"/>
                <w:rFonts w:eastAsia="Hind"/>
                <w:noProof/>
              </w:rPr>
              <w:t>General considerations for case selection/demarcation</w:t>
            </w:r>
            <w:r w:rsidR="005B1D30">
              <w:rPr>
                <w:noProof/>
                <w:webHidden/>
              </w:rPr>
              <w:tab/>
            </w:r>
            <w:r w:rsidR="005B1D30">
              <w:rPr>
                <w:noProof/>
                <w:webHidden/>
              </w:rPr>
              <w:fldChar w:fldCharType="begin"/>
            </w:r>
            <w:r w:rsidR="005B1D30">
              <w:rPr>
                <w:noProof/>
                <w:webHidden/>
              </w:rPr>
              <w:instrText xml:space="preserve"> PAGEREF _Toc101099957 \h </w:instrText>
            </w:r>
            <w:r w:rsidR="005B1D30">
              <w:rPr>
                <w:noProof/>
                <w:webHidden/>
              </w:rPr>
            </w:r>
            <w:r w:rsidR="005B1D30">
              <w:rPr>
                <w:noProof/>
                <w:webHidden/>
              </w:rPr>
              <w:fldChar w:fldCharType="separate"/>
            </w:r>
            <w:r w:rsidR="005B1D30">
              <w:rPr>
                <w:noProof/>
                <w:webHidden/>
              </w:rPr>
              <w:t>5</w:t>
            </w:r>
            <w:r w:rsidR="005B1D30">
              <w:rPr>
                <w:noProof/>
                <w:webHidden/>
              </w:rPr>
              <w:fldChar w:fldCharType="end"/>
            </w:r>
          </w:hyperlink>
        </w:p>
        <w:p w14:paraId="34C94F22" w14:textId="77777777" w:rsidR="005B1D30" w:rsidRDefault="00636AA3">
          <w:pPr>
            <w:pStyle w:val="TOC1"/>
            <w:tabs>
              <w:tab w:val="left" w:pos="440"/>
              <w:tab w:val="right" w:leader="dot" w:pos="9062"/>
            </w:tabs>
            <w:rPr>
              <w:rFonts w:asciiTheme="minorHAnsi" w:eastAsiaTheme="minorEastAsia" w:hAnsiTheme="minorHAnsi" w:cstheme="minorBidi"/>
              <w:noProof/>
              <w:sz w:val="22"/>
              <w:szCs w:val="22"/>
            </w:rPr>
          </w:pPr>
          <w:hyperlink w:anchor="_Toc101099958" w:history="1">
            <w:r w:rsidR="005B1D30" w:rsidRPr="00FF1346">
              <w:rPr>
                <w:rStyle w:val="Hyperlink"/>
                <w:rFonts w:eastAsia="Hind"/>
                <w:noProof/>
              </w:rPr>
              <w:t>3</w:t>
            </w:r>
            <w:r w:rsidR="005B1D30">
              <w:rPr>
                <w:rFonts w:asciiTheme="minorHAnsi" w:eastAsiaTheme="minorEastAsia" w:hAnsiTheme="minorHAnsi" w:cstheme="minorBidi"/>
                <w:noProof/>
                <w:sz w:val="22"/>
                <w:szCs w:val="22"/>
              </w:rPr>
              <w:tab/>
            </w:r>
            <w:r w:rsidR="005B1D30" w:rsidRPr="00FF1346">
              <w:rPr>
                <w:rStyle w:val="Hyperlink"/>
                <w:rFonts w:eastAsia="Hind"/>
                <w:noProof/>
              </w:rPr>
              <w:t>WP-specific considerations case selection/demarcation</w:t>
            </w:r>
            <w:r w:rsidR="005B1D30">
              <w:rPr>
                <w:noProof/>
                <w:webHidden/>
              </w:rPr>
              <w:tab/>
            </w:r>
            <w:r w:rsidR="005B1D30">
              <w:rPr>
                <w:noProof/>
                <w:webHidden/>
              </w:rPr>
              <w:fldChar w:fldCharType="begin"/>
            </w:r>
            <w:r w:rsidR="005B1D30">
              <w:rPr>
                <w:noProof/>
                <w:webHidden/>
              </w:rPr>
              <w:instrText xml:space="preserve"> PAGEREF _Toc101099958 \h </w:instrText>
            </w:r>
            <w:r w:rsidR="005B1D30">
              <w:rPr>
                <w:noProof/>
                <w:webHidden/>
              </w:rPr>
            </w:r>
            <w:r w:rsidR="005B1D30">
              <w:rPr>
                <w:noProof/>
                <w:webHidden/>
              </w:rPr>
              <w:fldChar w:fldCharType="separate"/>
            </w:r>
            <w:r w:rsidR="005B1D30">
              <w:rPr>
                <w:noProof/>
                <w:webHidden/>
              </w:rPr>
              <w:t>9</w:t>
            </w:r>
            <w:r w:rsidR="005B1D30">
              <w:rPr>
                <w:noProof/>
                <w:webHidden/>
              </w:rPr>
              <w:fldChar w:fldCharType="end"/>
            </w:r>
          </w:hyperlink>
        </w:p>
        <w:p w14:paraId="29EDAE09" w14:textId="77777777" w:rsidR="005B1D30" w:rsidRDefault="00636AA3">
          <w:pPr>
            <w:pStyle w:val="TOC2"/>
            <w:tabs>
              <w:tab w:val="left" w:pos="880"/>
              <w:tab w:val="right" w:leader="dot" w:pos="9062"/>
            </w:tabs>
            <w:rPr>
              <w:rFonts w:eastAsiaTheme="minorEastAsia"/>
              <w:noProof/>
              <w:sz w:val="22"/>
              <w:szCs w:val="22"/>
              <w:lang w:val="en-GB" w:eastAsia="en-GB"/>
            </w:rPr>
          </w:pPr>
          <w:hyperlink w:anchor="_Toc101099959" w:history="1">
            <w:r w:rsidR="005B1D30" w:rsidRPr="00FF1346">
              <w:rPr>
                <w:rStyle w:val="Hyperlink"/>
                <w:noProof/>
              </w:rPr>
              <w:t>3.1</w:t>
            </w:r>
            <w:r w:rsidR="005B1D30">
              <w:rPr>
                <w:rFonts w:eastAsiaTheme="minorEastAsia"/>
                <w:noProof/>
                <w:sz w:val="22"/>
                <w:szCs w:val="22"/>
                <w:lang w:val="en-GB" w:eastAsia="en-GB"/>
              </w:rPr>
              <w:tab/>
            </w:r>
            <w:r w:rsidR="005B1D30" w:rsidRPr="00FF1346">
              <w:rPr>
                <w:rStyle w:val="Hyperlink"/>
                <w:rFonts w:eastAsia="Hind"/>
                <w:noProof/>
              </w:rPr>
              <w:t>Towards integrative theory &amp; transitions policy mixes (WP2)</w:t>
            </w:r>
            <w:r w:rsidR="005B1D30">
              <w:rPr>
                <w:noProof/>
                <w:webHidden/>
              </w:rPr>
              <w:tab/>
            </w:r>
            <w:r w:rsidR="005B1D30">
              <w:rPr>
                <w:noProof/>
                <w:webHidden/>
              </w:rPr>
              <w:fldChar w:fldCharType="begin"/>
            </w:r>
            <w:r w:rsidR="005B1D30">
              <w:rPr>
                <w:noProof/>
                <w:webHidden/>
              </w:rPr>
              <w:instrText xml:space="preserve"> PAGEREF _Toc101099959 \h </w:instrText>
            </w:r>
            <w:r w:rsidR="005B1D30">
              <w:rPr>
                <w:noProof/>
                <w:webHidden/>
              </w:rPr>
            </w:r>
            <w:r w:rsidR="005B1D30">
              <w:rPr>
                <w:noProof/>
                <w:webHidden/>
              </w:rPr>
              <w:fldChar w:fldCharType="separate"/>
            </w:r>
            <w:r w:rsidR="005B1D30">
              <w:rPr>
                <w:noProof/>
                <w:webHidden/>
              </w:rPr>
              <w:t>9</w:t>
            </w:r>
            <w:r w:rsidR="005B1D30">
              <w:rPr>
                <w:noProof/>
                <w:webHidden/>
              </w:rPr>
              <w:fldChar w:fldCharType="end"/>
            </w:r>
          </w:hyperlink>
        </w:p>
        <w:p w14:paraId="1E3A4B37" w14:textId="77777777" w:rsidR="005B1D30" w:rsidRDefault="00636AA3">
          <w:pPr>
            <w:pStyle w:val="TOC2"/>
            <w:tabs>
              <w:tab w:val="left" w:pos="880"/>
              <w:tab w:val="right" w:leader="dot" w:pos="9062"/>
            </w:tabs>
            <w:rPr>
              <w:rFonts w:eastAsiaTheme="minorEastAsia"/>
              <w:noProof/>
              <w:sz w:val="22"/>
              <w:szCs w:val="22"/>
              <w:lang w:val="en-GB" w:eastAsia="en-GB"/>
            </w:rPr>
          </w:pPr>
          <w:hyperlink w:anchor="_Toc101099960" w:history="1">
            <w:r w:rsidR="005B1D30" w:rsidRPr="00FF1346">
              <w:rPr>
                <w:rStyle w:val="Hyperlink"/>
                <w:rFonts w:eastAsia="Hind"/>
                <w:noProof/>
              </w:rPr>
              <w:t>3.2</w:t>
            </w:r>
            <w:r w:rsidR="005B1D30">
              <w:rPr>
                <w:rFonts w:eastAsiaTheme="minorEastAsia"/>
                <w:noProof/>
                <w:sz w:val="22"/>
                <w:szCs w:val="22"/>
                <w:lang w:val="en-GB" w:eastAsia="en-GB"/>
              </w:rPr>
              <w:tab/>
            </w:r>
            <w:r w:rsidR="005B1D30" w:rsidRPr="00FF1346">
              <w:rPr>
                <w:rStyle w:val="Hyperlink"/>
                <w:rFonts w:eastAsia="Hind"/>
                <w:noProof/>
              </w:rPr>
              <w:t>Mapping the impact of low-carbon transition on workers (WP3)</w:t>
            </w:r>
            <w:r w:rsidR="005B1D30">
              <w:rPr>
                <w:noProof/>
                <w:webHidden/>
              </w:rPr>
              <w:tab/>
            </w:r>
            <w:r w:rsidR="005B1D30">
              <w:rPr>
                <w:noProof/>
                <w:webHidden/>
              </w:rPr>
              <w:fldChar w:fldCharType="begin"/>
            </w:r>
            <w:r w:rsidR="005B1D30">
              <w:rPr>
                <w:noProof/>
                <w:webHidden/>
              </w:rPr>
              <w:instrText xml:space="preserve"> PAGEREF _Toc101099960 \h </w:instrText>
            </w:r>
            <w:r w:rsidR="005B1D30">
              <w:rPr>
                <w:noProof/>
                <w:webHidden/>
              </w:rPr>
            </w:r>
            <w:r w:rsidR="005B1D30">
              <w:rPr>
                <w:noProof/>
                <w:webHidden/>
              </w:rPr>
              <w:fldChar w:fldCharType="separate"/>
            </w:r>
            <w:r w:rsidR="005B1D30">
              <w:rPr>
                <w:noProof/>
                <w:webHidden/>
              </w:rPr>
              <w:t>10</w:t>
            </w:r>
            <w:r w:rsidR="005B1D30">
              <w:rPr>
                <w:noProof/>
                <w:webHidden/>
              </w:rPr>
              <w:fldChar w:fldCharType="end"/>
            </w:r>
          </w:hyperlink>
        </w:p>
        <w:p w14:paraId="3D643C72" w14:textId="77777777" w:rsidR="005B1D30" w:rsidRDefault="00636AA3">
          <w:pPr>
            <w:pStyle w:val="TOC2"/>
            <w:tabs>
              <w:tab w:val="left" w:pos="880"/>
              <w:tab w:val="right" w:leader="dot" w:pos="9062"/>
            </w:tabs>
            <w:rPr>
              <w:rFonts w:eastAsiaTheme="minorEastAsia"/>
              <w:noProof/>
              <w:sz w:val="22"/>
              <w:szCs w:val="22"/>
              <w:lang w:val="en-GB" w:eastAsia="en-GB"/>
            </w:rPr>
          </w:pPr>
          <w:hyperlink w:anchor="_Toc101099961" w:history="1">
            <w:r w:rsidR="005B1D30" w:rsidRPr="00FF1346">
              <w:rPr>
                <w:rStyle w:val="Hyperlink"/>
                <w:rFonts w:eastAsia="Hind"/>
                <w:noProof/>
              </w:rPr>
              <w:t>3.3</w:t>
            </w:r>
            <w:r w:rsidR="005B1D30">
              <w:rPr>
                <w:rFonts w:eastAsiaTheme="minorEastAsia"/>
                <w:noProof/>
                <w:sz w:val="22"/>
                <w:szCs w:val="22"/>
                <w:lang w:val="en-GB" w:eastAsia="en-GB"/>
              </w:rPr>
              <w:tab/>
            </w:r>
            <w:r w:rsidR="005B1D30" w:rsidRPr="00FF1346">
              <w:rPr>
                <w:rStyle w:val="Hyperlink"/>
                <w:rFonts w:eastAsia="Hind"/>
                <w:noProof/>
              </w:rPr>
              <w:t>Anticipating low carbon/ labour pathways (WP4)</w:t>
            </w:r>
            <w:r w:rsidR="005B1D30">
              <w:rPr>
                <w:noProof/>
                <w:webHidden/>
              </w:rPr>
              <w:tab/>
            </w:r>
            <w:r w:rsidR="005B1D30">
              <w:rPr>
                <w:noProof/>
                <w:webHidden/>
              </w:rPr>
              <w:fldChar w:fldCharType="begin"/>
            </w:r>
            <w:r w:rsidR="005B1D30">
              <w:rPr>
                <w:noProof/>
                <w:webHidden/>
              </w:rPr>
              <w:instrText xml:space="preserve"> PAGEREF _Toc101099961 \h </w:instrText>
            </w:r>
            <w:r w:rsidR="005B1D30">
              <w:rPr>
                <w:noProof/>
                <w:webHidden/>
              </w:rPr>
            </w:r>
            <w:r w:rsidR="005B1D30">
              <w:rPr>
                <w:noProof/>
                <w:webHidden/>
              </w:rPr>
              <w:fldChar w:fldCharType="separate"/>
            </w:r>
            <w:r w:rsidR="005B1D30">
              <w:rPr>
                <w:noProof/>
                <w:webHidden/>
              </w:rPr>
              <w:t>11</w:t>
            </w:r>
            <w:r w:rsidR="005B1D30">
              <w:rPr>
                <w:noProof/>
                <w:webHidden/>
              </w:rPr>
              <w:fldChar w:fldCharType="end"/>
            </w:r>
          </w:hyperlink>
        </w:p>
        <w:p w14:paraId="496FB57C" w14:textId="77777777" w:rsidR="005B1D30" w:rsidRDefault="00636AA3">
          <w:pPr>
            <w:pStyle w:val="TOC2"/>
            <w:tabs>
              <w:tab w:val="left" w:pos="880"/>
              <w:tab w:val="right" w:leader="dot" w:pos="9062"/>
            </w:tabs>
            <w:rPr>
              <w:rFonts w:eastAsiaTheme="minorEastAsia"/>
              <w:noProof/>
              <w:sz w:val="22"/>
              <w:szCs w:val="22"/>
              <w:lang w:val="en-GB" w:eastAsia="en-GB"/>
            </w:rPr>
          </w:pPr>
          <w:hyperlink w:anchor="_Toc101099962" w:history="1">
            <w:r w:rsidR="005B1D30" w:rsidRPr="00FF1346">
              <w:rPr>
                <w:rStyle w:val="Hyperlink"/>
                <w:noProof/>
              </w:rPr>
              <w:t>3.4</w:t>
            </w:r>
            <w:r w:rsidR="005B1D30">
              <w:rPr>
                <w:rFonts w:eastAsiaTheme="minorEastAsia"/>
                <w:noProof/>
                <w:sz w:val="22"/>
                <w:szCs w:val="22"/>
                <w:lang w:val="en-GB" w:eastAsia="en-GB"/>
              </w:rPr>
              <w:tab/>
            </w:r>
            <w:r w:rsidR="005B1D30" w:rsidRPr="00FF1346">
              <w:rPr>
                <w:rStyle w:val="Hyperlink"/>
                <w:noProof/>
              </w:rPr>
              <w:t>Engaging with transition politics at the workplace (WP5)</w:t>
            </w:r>
            <w:r w:rsidR="005B1D30">
              <w:rPr>
                <w:noProof/>
                <w:webHidden/>
              </w:rPr>
              <w:tab/>
            </w:r>
            <w:r w:rsidR="005B1D30">
              <w:rPr>
                <w:noProof/>
                <w:webHidden/>
              </w:rPr>
              <w:fldChar w:fldCharType="begin"/>
            </w:r>
            <w:r w:rsidR="005B1D30">
              <w:rPr>
                <w:noProof/>
                <w:webHidden/>
              </w:rPr>
              <w:instrText xml:space="preserve"> PAGEREF _Toc101099962 \h </w:instrText>
            </w:r>
            <w:r w:rsidR="005B1D30">
              <w:rPr>
                <w:noProof/>
                <w:webHidden/>
              </w:rPr>
            </w:r>
            <w:r w:rsidR="005B1D30">
              <w:rPr>
                <w:noProof/>
                <w:webHidden/>
              </w:rPr>
              <w:fldChar w:fldCharType="separate"/>
            </w:r>
            <w:r w:rsidR="005B1D30">
              <w:rPr>
                <w:noProof/>
                <w:webHidden/>
              </w:rPr>
              <w:t>13</w:t>
            </w:r>
            <w:r w:rsidR="005B1D30">
              <w:rPr>
                <w:noProof/>
                <w:webHidden/>
              </w:rPr>
              <w:fldChar w:fldCharType="end"/>
            </w:r>
          </w:hyperlink>
        </w:p>
        <w:p w14:paraId="5D92283E" w14:textId="77777777" w:rsidR="005B1D30" w:rsidRDefault="00636AA3">
          <w:pPr>
            <w:pStyle w:val="TOC1"/>
            <w:tabs>
              <w:tab w:val="left" w:pos="440"/>
              <w:tab w:val="right" w:leader="dot" w:pos="9062"/>
            </w:tabs>
            <w:rPr>
              <w:rFonts w:asciiTheme="minorHAnsi" w:eastAsiaTheme="minorEastAsia" w:hAnsiTheme="minorHAnsi" w:cstheme="minorBidi"/>
              <w:noProof/>
              <w:sz w:val="22"/>
              <w:szCs w:val="22"/>
            </w:rPr>
          </w:pPr>
          <w:hyperlink w:anchor="_Toc101099963" w:history="1">
            <w:r w:rsidR="005B1D30" w:rsidRPr="00FF1346">
              <w:rPr>
                <w:rStyle w:val="Hyperlink"/>
                <w:rFonts w:eastAsia="Hind"/>
                <w:noProof/>
              </w:rPr>
              <w:t>4</w:t>
            </w:r>
            <w:r w:rsidR="005B1D30">
              <w:rPr>
                <w:rFonts w:asciiTheme="minorHAnsi" w:eastAsiaTheme="minorEastAsia" w:hAnsiTheme="minorHAnsi" w:cstheme="minorBidi"/>
                <w:noProof/>
                <w:sz w:val="22"/>
                <w:szCs w:val="22"/>
              </w:rPr>
              <w:tab/>
            </w:r>
            <w:r w:rsidR="005B1D30" w:rsidRPr="00FF1346">
              <w:rPr>
                <w:rStyle w:val="Hyperlink"/>
                <w:rFonts w:eastAsia="Hind"/>
                <w:noProof/>
              </w:rPr>
              <w:t>Conclusion: Four ‘salient sectors’, a framework</w:t>
            </w:r>
            <w:r w:rsidR="005B1D30">
              <w:rPr>
                <w:noProof/>
                <w:webHidden/>
              </w:rPr>
              <w:tab/>
            </w:r>
            <w:r w:rsidR="005B1D30">
              <w:rPr>
                <w:noProof/>
                <w:webHidden/>
              </w:rPr>
              <w:fldChar w:fldCharType="begin"/>
            </w:r>
            <w:r w:rsidR="005B1D30">
              <w:rPr>
                <w:noProof/>
                <w:webHidden/>
              </w:rPr>
              <w:instrText xml:space="preserve"> PAGEREF _Toc101099963 \h </w:instrText>
            </w:r>
            <w:r w:rsidR="005B1D30">
              <w:rPr>
                <w:noProof/>
                <w:webHidden/>
              </w:rPr>
            </w:r>
            <w:r w:rsidR="005B1D30">
              <w:rPr>
                <w:noProof/>
                <w:webHidden/>
              </w:rPr>
              <w:fldChar w:fldCharType="separate"/>
            </w:r>
            <w:r w:rsidR="005B1D30">
              <w:rPr>
                <w:noProof/>
                <w:webHidden/>
              </w:rPr>
              <w:t>14</w:t>
            </w:r>
            <w:r w:rsidR="005B1D30">
              <w:rPr>
                <w:noProof/>
                <w:webHidden/>
              </w:rPr>
              <w:fldChar w:fldCharType="end"/>
            </w:r>
          </w:hyperlink>
        </w:p>
        <w:p w14:paraId="4B1EB654" w14:textId="77777777" w:rsidR="005B1D30" w:rsidRDefault="00636AA3">
          <w:pPr>
            <w:pStyle w:val="TOC2"/>
            <w:tabs>
              <w:tab w:val="left" w:pos="880"/>
              <w:tab w:val="right" w:leader="dot" w:pos="9062"/>
            </w:tabs>
            <w:rPr>
              <w:rFonts w:eastAsiaTheme="minorEastAsia"/>
              <w:noProof/>
              <w:sz w:val="22"/>
              <w:szCs w:val="22"/>
              <w:lang w:val="en-GB" w:eastAsia="en-GB"/>
            </w:rPr>
          </w:pPr>
          <w:hyperlink w:anchor="_Toc101099964" w:history="1">
            <w:r w:rsidR="005B1D30" w:rsidRPr="00FF1346">
              <w:rPr>
                <w:rStyle w:val="Hyperlink"/>
                <w:noProof/>
              </w:rPr>
              <w:t>4.1</w:t>
            </w:r>
            <w:r w:rsidR="005B1D30">
              <w:rPr>
                <w:rFonts w:eastAsiaTheme="minorEastAsia"/>
                <w:noProof/>
                <w:sz w:val="22"/>
                <w:szCs w:val="22"/>
                <w:lang w:val="en-GB" w:eastAsia="en-GB"/>
              </w:rPr>
              <w:tab/>
            </w:r>
            <w:r w:rsidR="005B1D30" w:rsidRPr="00FF1346">
              <w:rPr>
                <w:rStyle w:val="Hyperlink"/>
                <w:rFonts w:eastAsia="Hind"/>
                <w:noProof/>
              </w:rPr>
              <w:t>A framework for empirical case research</w:t>
            </w:r>
            <w:r w:rsidR="005B1D30">
              <w:rPr>
                <w:noProof/>
                <w:webHidden/>
              </w:rPr>
              <w:tab/>
            </w:r>
            <w:r w:rsidR="005B1D30">
              <w:rPr>
                <w:noProof/>
                <w:webHidden/>
              </w:rPr>
              <w:fldChar w:fldCharType="begin"/>
            </w:r>
            <w:r w:rsidR="005B1D30">
              <w:rPr>
                <w:noProof/>
                <w:webHidden/>
              </w:rPr>
              <w:instrText xml:space="preserve"> PAGEREF _Toc101099964 \h </w:instrText>
            </w:r>
            <w:r w:rsidR="005B1D30">
              <w:rPr>
                <w:noProof/>
                <w:webHidden/>
              </w:rPr>
            </w:r>
            <w:r w:rsidR="005B1D30">
              <w:rPr>
                <w:noProof/>
                <w:webHidden/>
              </w:rPr>
              <w:fldChar w:fldCharType="separate"/>
            </w:r>
            <w:r w:rsidR="005B1D30">
              <w:rPr>
                <w:noProof/>
                <w:webHidden/>
              </w:rPr>
              <w:t>14</w:t>
            </w:r>
            <w:r w:rsidR="005B1D30">
              <w:rPr>
                <w:noProof/>
                <w:webHidden/>
              </w:rPr>
              <w:fldChar w:fldCharType="end"/>
            </w:r>
          </w:hyperlink>
        </w:p>
        <w:p w14:paraId="74458C41" w14:textId="77777777" w:rsidR="005B1D30" w:rsidRDefault="00636AA3">
          <w:pPr>
            <w:pStyle w:val="TOC2"/>
            <w:tabs>
              <w:tab w:val="left" w:pos="880"/>
              <w:tab w:val="right" w:leader="dot" w:pos="9062"/>
            </w:tabs>
            <w:rPr>
              <w:rFonts w:eastAsiaTheme="minorEastAsia"/>
              <w:noProof/>
              <w:sz w:val="22"/>
              <w:szCs w:val="22"/>
              <w:lang w:val="en-GB" w:eastAsia="en-GB"/>
            </w:rPr>
          </w:pPr>
          <w:hyperlink w:anchor="_Toc101099965" w:history="1">
            <w:r w:rsidR="005B1D30" w:rsidRPr="00FF1346">
              <w:rPr>
                <w:rStyle w:val="Hyperlink"/>
                <w:noProof/>
              </w:rPr>
              <w:t>4.2</w:t>
            </w:r>
            <w:r w:rsidR="005B1D30">
              <w:rPr>
                <w:rFonts w:eastAsiaTheme="minorEastAsia"/>
                <w:noProof/>
                <w:sz w:val="22"/>
                <w:szCs w:val="22"/>
                <w:lang w:val="en-GB" w:eastAsia="en-GB"/>
              </w:rPr>
              <w:tab/>
            </w:r>
            <w:r w:rsidR="005B1D30" w:rsidRPr="00FF1346">
              <w:rPr>
                <w:rStyle w:val="Hyperlink"/>
                <w:rFonts w:eastAsia="Hind"/>
                <w:noProof/>
              </w:rPr>
              <w:t>Next steps</w:t>
            </w:r>
            <w:r w:rsidR="005B1D30">
              <w:rPr>
                <w:noProof/>
                <w:webHidden/>
              </w:rPr>
              <w:tab/>
            </w:r>
            <w:r w:rsidR="005B1D30">
              <w:rPr>
                <w:noProof/>
                <w:webHidden/>
              </w:rPr>
              <w:fldChar w:fldCharType="begin"/>
            </w:r>
            <w:r w:rsidR="005B1D30">
              <w:rPr>
                <w:noProof/>
                <w:webHidden/>
              </w:rPr>
              <w:instrText xml:space="preserve"> PAGEREF _Toc101099965 \h </w:instrText>
            </w:r>
            <w:r w:rsidR="005B1D30">
              <w:rPr>
                <w:noProof/>
                <w:webHidden/>
              </w:rPr>
            </w:r>
            <w:r w:rsidR="005B1D30">
              <w:rPr>
                <w:noProof/>
                <w:webHidden/>
              </w:rPr>
              <w:fldChar w:fldCharType="separate"/>
            </w:r>
            <w:r w:rsidR="005B1D30">
              <w:rPr>
                <w:noProof/>
                <w:webHidden/>
              </w:rPr>
              <w:t>16</w:t>
            </w:r>
            <w:r w:rsidR="005B1D30">
              <w:rPr>
                <w:noProof/>
                <w:webHidden/>
              </w:rPr>
              <w:fldChar w:fldCharType="end"/>
            </w:r>
          </w:hyperlink>
        </w:p>
        <w:p w14:paraId="2B228E5A" w14:textId="77777777" w:rsidR="005B1D30" w:rsidRDefault="00636AA3">
          <w:pPr>
            <w:pStyle w:val="TOC1"/>
            <w:tabs>
              <w:tab w:val="right" w:leader="dot" w:pos="9062"/>
            </w:tabs>
            <w:rPr>
              <w:rFonts w:asciiTheme="minorHAnsi" w:eastAsiaTheme="minorEastAsia" w:hAnsiTheme="minorHAnsi" w:cstheme="minorBidi"/>
              <w:noProof/>
              <w:sz w:val="22"/>
              <w:szCs w:val="22"/>
            </w:rPr>
          </w:pPr>
          <w:hyperlink w:anchor="_Toc101099966" w:history="1">
            <w:r w:rsidR="005B1D30" w:rsidRPr="00FF1346">
              <w:rPr>
                <w:rStyle w:val="Hyperlink"/>
                <w:rFonts w:eastAsia="Hind"/>
                <w:noProof/>
              </w:rPr>
              <w:t>References</w:t>
            </w:r>
            <w:r w:rsidR="005B1D30">
              <w:rPr>
                <w:noProof/>
                <w:webHidden/>
              </w:rPr>
              <w:tab/>
            </w:r>
            <w:r w:rsidR="005B1D30">
              <w:rPr>
                <w:noProof/>
                <w:webHidden/>
              </w:rPr>
              <w:fldChar w:fldCharType="begin"/>
            </w:r>
            <w:r w:rsidR="005B1D30">
              <w:rPr>
                <w:noProof/>
                <w:webHidden/>
              </w:rPr>
              <w:instrText xml:space="preserve"> PAGEREF _Toc101099966 \h </w:instrText>
            </w:r>
            <w:r w:rsidR="005B1D30">
              <w:rPr>
                <w:noProof/>
                <w:webHidden/>
              </w:rPr>
            </w:r>
            <w:r w:rsidR="005B1D30">
              <w:rPr>
                <w:noProof/>
                <w:webHidden/>
              </w:rPr>
              <w:fldChar w:fldCharType="separate"/>
            </w:r>
            <w:r w:rsidR="005B1D30">
              <w:rPr>
                <w:noProof/>
                <w:webHidden/>
              </w:rPr>
              <w:t>17</w:t>
            </w:r>
            <w:r w:rsidR="005B1D30">
              <w:rPr>
                <w:noProof/>
                <w:webHidden/>
              </w:rPr>
              <w:fldChar w:fldCharType="end"/>
            </w:r>
          </w:hyperlink>
        </w:p>
        <w:p w14:paraId="09698640" w14:textId="1DB42B04" w:rsidR="009F00EC" w:rsidRDefault="009F00EC" w:rsidP="009F00EC">
          <w:r>
            <w:rPr>
              <w:rFonts w:ascii="Calibri" w:eastAsia="Calibri" w:hAnsi="Calibri" w:cs="Calibri"/>
              <w:b/>
              <w:bCs/>
              <w:noProof/>
              <w:lang w:val="en-GB" w:eastAsia="en-GB"/>
            </w:rPr>
            <w:fldChar w:fldCharType="end"/>
          </w:r>
        </w:p>
      </w:sdtContent>
    </w:sdt>
    <w:p w14:paraId="30500817" w14:textId="77777777" w:rsidR="009F00EC" w:rsidRDefault="009F00EC" w:rsidP="009F00EC">
      <w:pPr>
        <w:pStyle w:val="LAMARTRAHeading1"/>
        <w:rPr>
          <w:rFonts w:eastAsia="Hind"/>
        </w:rPr>
      </w:pPr>
      <w:bookmarkStart w:id="2" w:name="_Toc101099955"/>
      <w:r w:rsidRPr="002A2EC9">
        <w:rPr>
          <w:rFonts w:eastAsia="Hind"/>
        </w:rPr>
        <w:t>Table of Figures</w:t>
      </w:r>
      <w:bookmarkEnd w:id="2"/>
    </w:p>
    <w:p w14:paraId="01949CE2" w14:textId="77777777" w:rsidR="005B1D30" w:rsidRDefault="009F00EC">
      <w:pPr>
        <w:pStyle w:val="TableofFigures"/>
        <w:tabs>
          <w:tab w:val="left" w:pos="1320"/>
          <w:tab w:val="right" w:leader="dot" w:pos="9062"/>
        </w:tabs>
        <w:rPr>
          <w:rFonts w:asciiTheme="minorHAnsi" w:eastAsiaTheme="minorEastAsia" w:hAnsiTheme="minorHAnsi" w:cstheme="minorBidi"/>
          <w:noProof/>
          <w:sz w:val="22"/>
          <w:szCs w:val="22"/>
        </w:rPr>
      </w:pPr>
      <w:r>
        <w:fldChar w:fldCharType="begin"/>
      </w:r>
      <w:r>
        <w:instrText xml:space="preserve"> TOC \f F \h \z \t "Caption" \c </w:instrText>
      </w:r>
      <w:r>
        <w:fldChar w:fldCharType="separate"/>
      </w:r>
      <w:hyperlink w:anchor="_Toc101099967" w:history="1">
        <w:r w:rsidR="005B1D30" w:rsidRPr="00390E8E">
          <w:rPr>
            <w:rStyle w:val="Hyperlink"/>
            <w:noProof/>
          </w:rPr>
          <w:t>Figure 2.1:</w:t>
        </w:r>
        <w:r w:rsidR="005B1D30">
          <w:rPr>
            <w:rFonts w:asciiTheme="minorHAnsi" w:eastAsiaTheme="minorEastAsia" w:hAnsiTheme="minorHAnsi" w:cstheme="minorBidi"/>
            <w:noProof/>
            <w:sz w:val="22"/>
            <w:szCs w:val="22"/>
          </w:rPr>
          <w:tab/>
        </w:r>
        <w:r w:rsidR="005B1D30" w:rsidRPr="00390E8E">
          <w:rPr>
            <w:rStyle w:val="Hyperlink"/>
            <w:noProof/>
          </w:rPr>
          <w:t>Related projects &amp; their research foci</w:t>
        </w:r>
        <w:r w:rsidR="005B1D30">
          <w:rPr>
            <w:noProof/>
            <w:webHidden/>
          </w:rPr>
          <w:tab/>
        </w:r>
        <w:r w:rsidR="005B1D30">
          <w:rPr>
            <w:noProof/>
            <w:webHidden/>
          </w:rPr>
          <w:fldChar w:fldCharType="begin"/>
        </w:r>
        <w:r w:rsidR="005B1D30">
          <w:rPr>
            <w:noProof/>
            <w:webHidden/>
          </w:rPr>
          <w:instrText xml:space="preserve"> PAGEREF _Toc101099967 \h </w:instrText>
        </w:r>
        <w:r w:rsidR="005B1D30">
          <w:rPr>
            <w:noProof/>
            <w:webHidden/>
          </w:rPr>
        </w:r>
        <w:r w:rsidR="005B1D30">
          <w:rPr>
            <w:noProof/>
            <w:webHidden/>
          </w:rPr>
          <w:fldChar w:fldCharType="separate"/>
        </w:r>
        <w:r w:rsidR="005B1D30">
          <w:rPr>
            <w:noProof/>
            <w:webHidden/>
          </w:rPr>
          <w:t>8</w:t>
        </w:r>
        <w:r w:rsidR="005B1D30">
          <w:rPr>
            <w:noProof/>
            <w:webHidden/>
          </w:rPr>
          <w:fldChar w:fldCharType="end"/>
        </w:r>
      </w:hyperlink>
    </w:p>
    <w:p w14:paraId="3D533FD3" w14:textId="77777777" w:rsidR="005B1D30" w:rsidRDefault="00636AA3">
      <w:pPr>
        <w:pStyle w:val="TableofFigures"/>
        <w:tabs>
          <w:tab w:val="left" w:pos="1320"/>
          <w:tab w:val="right" w:leader="dot" w:pos="9062"/>
        </w:tabs>
        <w:rPr>
          <w:rFonts w:asciiTheme="minorHAnsi" w:eastAsiaTheme="minorEastAsia" w:hAnsiTheme="minorHAnsi" w:cstheme="minorBidi"/>
          <w:noProof/>
          <w:sz w:val="22"/>
          <w:szCs w:val="22"/>
        </w:rPr>
      </w:pPr>
      <w:hyperlink w:anchor="_Toc101099968" w:history="1">
        <w:r w:rsidR="005B1D30" w:rsidRPr="00390E8E">
          <w:rPr>
            <w:rStyle w:val="Hyperlink"/>
            <w:noProof/>
          </w:rPr>
          <w:t>Figure 4.1:</w:t>
        </w:r>
        <w:r w:rsidR="005B1D30">
          <w:rPr>
            <w:rFonts w:asciiTheme="minorHAnsi" w:eastAsiaTheme="minorEastAsia" w:hAnsiTheme="minorHAnsi" w:cstheme="minorBidi"/>
            <w:noProof/>
            <w:sz w:val="22"/>
            <w:szCs w:val="22"/>
          </w:rPr>
          <w:tab/>
        </w:r>
        <w:r w:rsidR="005B1D30" w:rsidRPr="00390E8E">
          <w:rPr>
            <w:rStyle w:val="Hyperlink"/>
            <w:noProof/>
          </w:rPr>
          <w:t>Case research: salient sectors and nested case studies</w:t>
        </w:r>
        <w:r w:rsidR="005B1D30">
          <w:rPr>
            <w:noProof/>
            <w:webHidden/>
          </w:rPr>
          <w:tab/>
        </w:r>
        <w:r w:rsidR="005B1D30">
          <w:rPr>
            <w:noProof/>
            <w:webHidden/>
          </w:rPr>
          <w:fldChar w:fldCharType="begin"/>
        </w:r>
        <w:r w:rsidR="005B1D30">
          <w:rPr>
            <w:noProof/>
            <w:webHidden/>
          </w:rPr>
          <w:instrText xml:space="preserve"> PAGEREF _Toc101099968 \h </w:instrText>
        </w:r>
        <w:r w:rsidR="005B1D30">
          <w:rPr>
            <w:noProof/>
            <w:webHidden/>
          </w:rPr>
        </w:r>
        <w:r w:rsidR="005B1D30">
          <w:rPr>
            <w:noProof/>
            <w:webHidden/>
          </w:rPr>
          <w:fldChar w:fldCharType="separate"/>
        </w:r>
        <w:r w:rsidR="005B1D30">
          <w:rPr>
            <w:noProof/>
            <w:webHidden/>
          </w:rPr>
          <w:t>14</w:t>
        </w:r>
        <w:r w:rsidR="005B1D30">
          <w:rPr>
            <w:noProof/>
            <w:webHidden/>
          </w:rPr>
          <w:fldChar w:fldCharType="end"/>
        </w:r>
      </w:hyperlink>
    </w:p>
    <w:p w14:paraId="467F9A8E" w14:textId="77777777" w:rsidR="009F00EC" w:rsidRDefault="009F00EC" w:rsidP="009F00EC">
      <w:r>
        <w:fldChar w:fldCharType="end"/>
      </w:r>
    </w:p>
    <w:p w14:paraId="2859154D" w14:textId="77777777" w:rsidR="009F00EC" w:rsidRDefault="009F00EC" w:rsidP="009F00EC"/>
    <w:p w14:paraId="7C92EB08" w14:textId="77777777" w:rsidR="009F00EC" w:rsidRDefault="009F00EC" w:rsidP="009F00EC">
      <w:r>
        <w:br w:type="page"/>
      </w:r>
    </w:p>
    <w:p w14:paraId="2B4F9DB9" w14:textId="77777777" w:rsidR="009F00EC" w:rsidRDefault="009F00EC" w:rsidP="009F00EC"/>
    <w:p w14:paraId="286299F3" w14:textId="22661322" w:rsidR="009F00EC" w:rsidRDefault="009F00EC" w:rsidP="009F00EC">
      <w:pPr>
        <w:pStyle w:val="LAMARTRAHeading1"/>
        <w:rPr>
          <w:rFonts w:eastAsia="Hind"/>
        </w:rPr>
      </w:pPr>
      <w:bookmarkStart w:id="3" w:name="_Toc101099956"/>
      <w:r>
        <w:rPr>
          <w:rFonts w:eastAsia="Hind"/>
        </w:rPr>
        <w:t>1</w:t>
      </w:r>
      <w:r>
        <w:rPr>
          <w:rFonts w:eastAsia="Hind"/>
        </w:rPr>
        <w:tab/>
      </w:r>
      <w:r w:rsidRPr="009F00EC">
        <w:rPr>
          <w:rFonts w:eastAsia="Hind"/>
        </w:rPr>
        <w:t>Introduction</w:t>
      </w:r>
      <w:bookmarkEnd w:id="3"/>
    </w:p>
    <w:p w14:paraId="69B8CDA6" w14:textId="7E21A2F2" w:rsidR="009F00EC" w:rsidRDefault="009F00EC" w:rsidP="009F00EC">
      <w:pPr>
        <w:spacing w:before="120" w:after="120"/>
        <w:ind w:firstLine="567"/>
        <w:jc w:val="both"/>
        <w:rPr>
          <w:rFonts w:ascii="Arial" w:eastAsia="Arial" w:hAnsi="Arial" w:cs="Arial"/>
          <w:color w:val="000000"/>
          <w:highlight w:val="white"/>
        </w:rPr>
      </w:pPr>
      <w:r>
        <w:rPr>
          <w:rFonts w:ascii="Arial" w:eastAsia="Arial" w:hAnsi="Arial" w:cs="Arial"/>
          <w:color w:val="000000"/>
          <w:highlight w:val="white"/>
        </w:rPr>
        <w:t xml:space="preserve">This deliverable presents </w:t>
      </w:r>
      <w:proofErr w:type="gramStart"/>
      <w:r w:rsidR="003D45CC">
        <w:rPr>
          <w:rFonts w:ascii="Arial" w:eastAsia="Arial" w:hAnsi="Arial" w:cs="Arial"/>
          <w:color w:val="000000"/>
          <w:highlight w:val="white"/>
        </w:rPr>
        <w:t>a</w:t>
      </w:r>
      <w:proofErr w:type="gramEnd"/>
      <w:r w:rsidR="003D45CC">
        <w:rPr>
          <w:rFonts w:ascii="Arial" w:eastAsia="Arial" w:hAnsi="Arial" w:cs="Arial"/>
          <w:color w:val="000000"/>
          <w:highlight w:val="white"/>
        </w:rPr>
        <w:t xml:space="preserve"> method</w:t>
      </w:r>
      <w:r w:rsidR="00AA7319">
        <w:rPr>
          <w:rFonts w:ascii="Arial" w:eastAsia="Arial" w:hAnsi="Arial" w:cs="Arial"/>
          <w:color w:val="000000"/>
          <w:highlight w:val="white"/>
        </w:rPr>
        <w:t>o</w:t>
      </w:r>
      <w:r w:rsidR="003D45CC">
        <w:rPr>
          <w:rFonts w:ascii="Arial" w:eastAsia="Arial" w:hAnsi="Arial" w:cs="Arial"/>
          <w:color w:val="000000"/>
          <w:highlight w:val="white"/>
        </w:rPr>
        <w:t xml:space="preserve">logical framework for </w:t>
      </w:r>
      <w:r>
        <w:rPr>
          <w:rFonts w:ascii="Arial" w:eastAsia="Arial" w:hAnsi="Arial" w:cs="Arial"/>
          <w:color w:val="000000"/>
          <w:highlight w:val="white"/>
        </w:rPr>
        <w:t xml:space="preserve">the selection and demarcation of LAMARTRA case studies. </w:t>
      </w:r>
      <w:r w:rsidR="003D45CC">
        <w:rPr>
          <w:rFonts w:ascii="Arial" w:eastAsia="Arial" w:hAnsi="Arial" w:cs="Arial"/>
          <w:color w:val="000000"/>
          <w:highlight w:val="white"/>
        </w:rPr>
        <w:t xml:space="preserve">This has been fed, amongst others, by inputs from experts and stakeholders from the follow-committee. </w:t>
      </w:r>
      <w:r>
        <w:rPr>
          <w:rFonts w:ascii="Arial" w:eastAsia="Arial" w:hAnsi="Arial" w:cs="Arial"/>
          <w:color w:val="000000"/>
          <w:highlight w:val="white"/>
        </w:rPr>
        <w:t xml:space="preserve">It elaborates the methodology described in the </w:t>
      </w:r>
      <w:sdt>
        <w:sdtPr>
          <w:tag w:val="goog_rdk_0"/>
          <w:id w:val="-816647061"/>
        </w:sdtPr>
        <w:sdtEndPr/>
        <w:sdtContent/>
      </w:sdt>
      <w:r>
        <w:rPr>
          <w:rFonts w:ascii="Arial" w:eastAsia="Arial" w:hAnsi="Arial" w:cs="Arial"/>
          <w:color w:val="000000"/>
          <w:highlight w:val="white"/>
        </w:rPr>
        <w:t>description of work (DoW) and the methodological principles elaborated in the project proposal</w:t>
      </w:r>
      <w:r>
        <w:rPr>
          <w:rFonts w:ascii="Arial" w:eastAsia="Arial" w:hAnsi="Arial" w:cs="Arial"/>
          <w:color w:val="000000"/>
          <w:highlight w:val="white"/>
          <w:vertAlign w:val="superscript"/>
        </w:rPr>
        <w:footnoteReference w:id="1"/>
      </w:r>
      <w:r>
        <w:rPr>
          <w:rFonts w:ascii="Arial" w:eastAsia="Arial" w:hAnsi="Arial" w:cs="Arial"/>
          <w:color w:val="000000"/>
          <w:highlight w:val="white"/>
        </w:rPr>
        <w:t xml:space="preserve">. The deliverable captures the result of a collective activity, converging towards </w:t>
      </w:r>
      <w:r w:rsidR="003D45CC">
        <w:rPr>
          <w:rFonts w:ascii="Arial" w:eastAsia="Arial" w:hAnsi="Arial" w:cs="Arial"/>
          <w:color w:val="000000"/>
          <w:highlight w:val="white"/>
        </w:rPr>
        <w:t xml:space="preserve">a framework for </w:t>
      </w:r>
      <w:r>
        <w:rPr>
          <w:rFonts w:ascii="Arial" w:eastAsia="Arial" w:hAnsi="Arial" w:cs="Arial"/>
          <w:color w:val="000000"/>
          <w:highlight w:val="white"/>
        </w:rPr>
        <w:t>four ‘nested’ case studies that are scientifically appropriate and relevant to LAMARTRA stakeholders</w:t>
      </w:r>
      <w:r>
        <w:rPr>
          <w:rFonts w:ascii="Arial" w:eastAsia="Arial" w:hAnsi="Arial" w:cs="Arial"/>
          <w:color w:val="000000"/>
          <w:highlight w:val="white"/>
          <w:vertAlign w:val="superscript"/>
        </w:rPr>
        <w:footnoteReference w:id="2"/>
      </w:r>
      <w:r>
        <w:rPr>
          <w:rFonts w:ascii="Arial" w:eastAsia="Arial" w:hAnsi="Arial" w:cs="Arial"/>
          <w:color w:val="000000"/>
          <w:highlight w:val="white"/>
        </w:rPr>
        <w:t xml:space="preserve">. The deliverable is therefore structured as follows: After an outline of general considerations for case selection/demarcation </w:t>
      </w:r>
      <w:r>
        <w:rPr>
          <w:rFonts w:ascii="Arial" w:eastAsia="Arial" w:hAnsi="Arial" w:cs="Arial"/>
          <w:b/>
          <w:color w:val="000000"/>
          <w:highlight w:val="white"/>
        </w:rPr>
        <w:t>(Chapter 2)</w:t>
      </w:r>
      <w:r>
        <w:rPr>
          <w:rFonts w:ascii="Arial" w:eastAsia="Arial" w:hAnsi="Arial" w:cs="Arial"/>
          <w:color w:val="000000"/>
          <w:highlight w:val="white"/>
        </w:rPr>
        <w:t xml:space="preserve">, specific requirements, methodological considerations and candidate cases of each WP are presented </w:t>
      </w:r>
      <w:r>
        <w:rPr>
          <w:rFonts w:ascii="Arial" w:eastAsia="Arial" w:hAnsi="Arial" w:cs="Arial"/>
          <w:b/>
          <w:color w:val="000000"/>
          <w:highlight w:val="white"/>
        </w:rPr>
        <w:t>(Chapter 3)</w:t>
      </w:r>
      <w:r>
        <w:rPr>
          <w:rFonts w:ascii="Arial" w:eastAsia="Arial" w:hAnsi="Arial" w:cs="Arial"/>
          <w:color w:val="000000"/>
          <w:highlight w:val="white"/>
        </w:rPr>
        <w:t xml:space="preserve">. The deliverable concludes with a </w:t>
      </w:r>
      <w:r w:rsidR="003D45CC">
        <w:rPr>
          <w:rFonts w:ascii="Arial" w:eastAsia="Arial" w:hAnsi="Arial" w:cs="Arial"/>
          <w:color w:val="000000"/>
          <w:highlight w:val="white"/>
        </w:rPr>
        <w:t xml:space="preserve">framework for empirical research. This </w:t>
      </w:r>
      <w:r>
        <w:rPr>
          <w:rFonts w:ascii="Arial" w:eastAsia="Arial" w:hAnsi="Arial" w:cs="Arial"/>
          <w:color w:val="000000"/>
          <w:highlight w:val="white"/>
        </w:rPr>
        <w:t>first sketch of the four empirical cases</w:t>
      </w:r>
      <w:r w:rsidR="003D45CC">
        <w:rPr>
          <w:rFonts w:ascii="Arial" w:eastAsia="Arial" w:hAnsi="Arial" w:cs="Arial"/>
          <w:color w:val="000000"/>
          <w:highlight w:val="white"/>
        </w:rPr>
        <w:t xml:space="preserve"> </w:t>
      </w:r>
      <w:r w:rsidR="003D45CC" w:rsidRPr="003D45CC">
        <w:rPr>
          <w:rFonts w:ascii="Arial" w:eastAsia="Arial" w:hAnsi="Arial" w:cs="Arial"/>
          <w:color w:val="000000"/>
        </w:rPr>
        <w:t>will be elaborated in the respective methodological protocols for empirical</w:t>
      </w:r>
      <w:r w:rsidR="003D45CC">
        <w:rPr>
          <w:rFonts w:ascii="Arial" w:eastAsia="Arial" w:hAnsi="Arial" w:cs="Arial"/>
          <w:color w:val="000000"/>
        </w:rPr>
        <w:t xml:space="preserve"> analysis of WPs 2, 3, 4 and 5 </w:t>
      </w:r>
      <w:r>
        <w:rPr>
          <w:rFonts w:ascii="Arial" w:eastAsia="Arial" w:hAnsi="Arial" w:cs="Arial"/>
          <w:b/>
          <w:color w:val="000000"/>
          <w:highlight w:val="white"/>
        </w:rPr>
        <w:t>(Chapter 4)</w:t>
      </w:r>
      <w:r>
        <w:rPr>
          <w:rFonts w:ascii="Arial" w:eastAsia="Arial" w:hAnsi="Arial" w:cs="Arial"/>
          <w:color w:val="000000"/>
          <w:highlight w:val="white"/>
        </w:rPr>
        <w:t xml:space="preserve">. </w:t>
      </w:r>
    </w:p>
    <w:p w14:paraId="71B6595B" w14:textId="77777777" w:rsidR="009F00EC" w:rsidRDefault="009F00EC" w:rsidP="009F00EC">
      <w:pPr>
        <w:spacing w:before="120" w:after="120"/>
        <w:rPr>
          <w:rFonts w:ascii="Arial" w:eastAsia="Arial" w:hAnsi="Arial" w:cs="Arial"/>
          <w:color w:val="000000"/>
          <w:highlight w:val="white"/>
        </w:rPr>
      </w:pPr>
    </w:p>
    <w:p w14:paraId="7B8EE227" w14:textId="77777777" w:rsidR="009F00EC" w:rsidRDefault="009F00EC" w:rsidP="009F00EC">
      <w:pPr>
        <w:rPr>
          <w:rFonts w:ascii="Arial" w:eastAsia="Arial" w:hAnsi="Arial" w:cs="Arial"/>
          <w:color w:val="000000"/>
          <w:highlight w:val="white"/>
        </w:rPr>
      </w:pPr>
      <w:r>
        <w:br w:type="page"/>
      </w:r>
    </w:p>
    <w:p w14:paraId="3386FA2A" w14:textId="0F0FE5E2" w:rsidR="009F00EC" w:rsidRDefault="009F00EC" w:rsidP="009F00EC">
      <w:pPr>
        <w:pStyle w:val="LAMARTRAHeading1"/>
        <w:rPr>
          <w:rFonts w:eastAsia="Hind"/>
        </w:rPr>
      </w:pPr>
      <w:bookmarkStart w:id="4" w:name="_Toc101099957"/>
      <w:r>
        <w:rPr>
          <w:rFonts w:eastAsia="Hind"/>
        </w:rPr>
        <w:lastRenderedPageBreak/>
        <w:t>2</w:t>
      </w:r>
      <w:r>
        <w:rPr>
          <w:rFonts w:eastAsia="Hind"/>
        </w:rPr>
        <w:tab/>
        <w:t>General considerations for case selection</w:t>
      </w:r>
      <w:r w:rsidR="005B1D30">
        <w:rPr>
          <w:rFonts w:eastAsia="Hind"/>
        </w:rPr>
        <w:t>/</w:t>
      </w:r>
      <w:r>
        <w:rPr>
          <w:rFonts w:eastAsia="Hind"/>
        </w:rPr>
        <w:t>demarcation</w:t>
      </w:r>
      <w:bookmarkEnd w:id="4"/>
      <w:r>
        <w:rPr>
          <w:rFonts w:eastAsia="Hind"/>
        </w:rPr>
        <w:t xml:space="preserve"> </w:t>
      </w:r>
    </w:p>
    <w:p w14:paraId="5C37EACF" w14:textId="77777777" w:rsidR="009F00EC" w:rsidRDefault="009F00EC" w:rsidP="009F00EC">
      <w:pPr>
        <w:spacing w:before="120" w:after="120"/>
        <w:ind w:firstLine="567"/>
        <w:jc w:val="both"/>
        <w:rPr>
          <w:rFonts w:ascii="Arial" w:eastAsia="Arial" w:hAnsi="Arial" w:cs="Arial"/>
          <w:color w:val="000000"/>
          <w:highlight w:val="white"/>
        </w:rPr>
      </w:pPr>
      <w:r>
        <w:rPr>
          <w:rFonts w:ascii="Arial" w:eastAsia="Arial" w:hAnsi="Arial" w:cs="Arial"/>
          <w:color w:val="000000"/>
          <w:highlight w:val="white"/>
        </w:rPr>
        <w:t xml:space="preserve">LAMARTRA comprises four tracks of empirical research. In order to create synergies and convergence between these tracks, the project develops an overall framework for case selection/demarcation. Importantly, each of the four tracks will be guided by its own methodological protocol – developed in the first months of year 2. Discussions between LAMARTRA partners have brought the following general considerations: </w:t>
      </w:r>
    </w:p>
    <w:p w14:paraId="6837E0F6" w14:textId="77777777" w:rsidR="009F00EC" w:rsidRDefault="009F00EC" w:rsidP="009F00EC">
      <w:pPr>
        <w:numPr>
          <w:ilvl w:val="0"/>
          <w:numId w:val="12"/>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color w:val="000000"/>
        </w:rPr>
        <w:t>Nested-case approach:</w:t>
      </w:r>
      <w:r>
        <w:rPr>
          <w:rFonts w:ascii="Arial" w:eastAsia="Arial" w:hAnsi="Arial" w:cs="Arial"/>
          <w:color w:val="000000"/>
        </w:rPr>
        <w:t xml:space="preserve"> We will study </w:t>
      </w:r>
      <w:r>
        <w:rPr>
          <w:rFonts w:ascii="Arial" w:eastAsia="Arial" w:hAnsi="Arial" w:cs="Arial"/>
        </w:rPr>
        <w:t>f</w:t>
      </w:r>
      <w:r>
        <w:rPr>
          <w:rFonts w:ascii="Arial" w:eastAsia="Arial" w:hAnsi="Arial" w:cs="Arial"/>
          <w:color w:val="000000"/>
        </w:rPr>
        <w:t>our empirical cases</w:t>
      </w:r>
      <w:r>
        <w:rPr>
          <w:rFonts w:ascii="Arial" w:eastAsia="Arial" w:hAnsi="Arial" w:cs="Arial"/>
        </w:rPr>
        <w:t>,</w:t>
      </w:r>
      <w:r>
        <w:rPr>
          <w:rFonts w:ascii="Arial" w:eastAsia="Arial" w:hAnsi="Arial" w:cs="Arial"/>
          <w:color w:val="000000"/>
        </w:rPr>
        <w:t xml:space="preserve"> descri</w:t>
      </w:r>
      <w:r>
        <w:rPr>
          <w:rFonts w:ascii="Arial" w:eastAsia="Arial" w:hAnsi="Arial" w:cs="Arial"/>
        </w:rPr>
        <w:t xml:space="preserve">bed in the project proposal as </w:t>
      </w:r>
      <w:r>
        <w:rPr>
          <w:rFonts w:ascii="Arial" w:eastAsia="Arial" w:hAnsi="Arial" w:cs="Arial"/>
          <w:color w:val="000000"/>
        </w:rPr>
        <w:t>‘salient sectors’. The case definition along the logic of sectors is essential for our quantit</w:t>
      </w:r>
      <w:r>
        <w:rPr>
          <w:rFonts w:ascii="Arial" w:eastAsia="Arial" w:hAnsi="Arial" w:cs="Arial"/>
        </w:rPr>
        <w:t xml:space="preserve">ative analyses of worker profiles </w:t>
      </w:r>
      <w:r>
        <w:rPr>
          <w:rFonts w:ascii="Arial" w:eastAsia="Arial" w:hAnsi="Arial" w:cs="Arial"/>
          <w:color w:val="000000"/>
        </w:rPr>
        <w:t>(WP3)</w:t>
      </w:r>
      <w:r>
        <w:rPr>
          <w:rFonts w:ascii="Arial" w:eastAsia="Arial" w:hAnsi="Arial" w:cs="Arial"/>
        </w:rPr>
        <w:t>.</w:t>
      </w:r>
      <w:r>
        <w:rPr>
          <w:rFonts w:ascii="Arial" w:eastAsia="Arial" w:hAnsi="Arial" w:cs="Arial"/>
          <w:color w:val="000000"/>
        </w:rPr>
        <w:t xml:space="preserve"> </w:t>
      </w:r>
      <w:r>
        <w:rPr>
          <w:rFonts w:ascii="Arial" w:eastAsia="Arial" w:hAnsi="Arial" w:cs="Arial"/>
        </w:rPr>
        <w:t>W</w:t>
      </w:r>
      <w:r>
        <w:rPr>
          <w:rFonts w:ascii="Arial" w:eastAsia="Arial" w:hAnsi="Arial" w:cs="Arial"/>
          <w:color w:val="000000"/>
        </w:rPr>
        <w:t>ithin the selected sectors</w:t>
      </w:r>
      <w:r>
        <w:rPr>
          <w:rFonts w:ascii="Arial" w:eastAsia="Arial" w:hAnsi="Arial" w:cs="Arial"/>
        </w:rPr>
        <w:t xml:space="preserve"> </w:t>
      </w:r>
      <w:r>
        <w:rPr>
          <w:rFonts w:ascii="Arial" w:eastAsia="Arial" w:hAnsi="Arial" w:cs="Arial"/>
          <w:color w:val="000000"/>
        </w:rPr>
        <w:t xml:space="preserve">we will identify sub-cases: </w:t>
      </w:r>
      <w:r>
        <w:rPr>
          <w:rFonts w:ascii="Arial" w:eastAsia="Arial" w:hAnsi="Arial" w:cs="Arial"/>
          <w:i/>
          <w:color w:val="000000"/>
        </w:rPr>
        <w:t>companies</w:t>
      </w:r>
      <w:r>
        <w:rPr>
          <w:rFonts w:ascii="Arial" w:eastAsia="Arial" w:hAnsi="Arial" w:cs="Arial"/>
          <w:color w:val="000000"/>
        </w:rPr>
        <w:t xml:space="preserve"> (WP5), </w:t>
      </w:r>
      <w:r>
        <w:rPr>
          <w:rFonts w:ascii="Arial" w:eastAsia="Arial" w:hAnsi="Arial" w:cs="Arial"/>
          <w:i/>
          <w:color w:val="000000"/>
        </w:rPr>
        <w:t>transition policy arenas</w:t>
      </w:r>
      <w:r>
        <w:rPr>
          <w:rFonts w:ascii="Arial" w:eastAsia="Arial" w:hAnsi="Arial" w:cs="Arial"/>
          <w:color w:val="000000"/>
        </w:rPr>
        <w:t xml:space="preserve"> (i.e. networks of actors with stakes in </w:t>
      </w:r>
      <w:proofErr w:type="gramStart"/>
      <w:r>
        <w:rPr>
          <w:rFonts w:ascii="Arial" w:eastAsia="Arial" w:hAnsi="Arial" w:cs="Arial"/>
          <w:color w:val="000000"/>
        </w:rPr>
        <w:t>a</w:t>
      </w:r>
      <w:proofErr w:type="gramEnd"/>
      <w:r>
        <w:rPr>
          <w:rFonts w:ascii="Arial" w:eastAsia="Arial" w:hAnsi="Arial" w:cs="Arial"/>
          <w:color w:val="000000"/>
        </w:rPr>
        <w:t xml:space="preserve"> particular transition process) (WP2), and </w:t>
      </w:r>
      <w:r>
        <w:rPr>
          <w:rFonts w:ascii="Arial" w:eastAsia="Arial" w:hAnsi="Arial" w:cs="Arial"/>
          <w:i/>
          <w:color w:val="000000"/>
        </w:rPr>
        <w:t>hybrid for</w:t>
      </w:r>
      <w:r>
        <w:rPr>
          <w:rFonts w:ascii="Arial" w:eastAsia="Arial" w:hAnsi="Arial" w:cs="Arial"/>
          <w:i/>
        </w:rPr>
        <w:t>a</w:t>
      </w:r>
      <w:r>
        <w:rPr>
          <w:rFonts w:ascii="Arial" w:eastAsia="Arial" w:hAnsi="Arial" w:cs="Arial"/>
          <w:color w:val="000000"/>
        </w:rPr>
        <w:t xml:space="preserve"> (WP4). </w:t>
      </w:r>
    </w:p>
    <w:p w14:paraId="42BE2E6F" w14:textId="77777777" w:rsidR="009F00EC" w:rsidRDefault="009F00EC" w:rsidP="009F00EC">
      <w:pPr>
        <w:numPr>
          <w:ilvl w:val="0"/>
          <w:numId w:val="12"/>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Research objects and units of analysis:</w:t>
      </w:r>
      <w:r>
        <w:rPr>
          <w:rFonts w:ascii="Arial" w:eastAsia="Arial" w:hAnsi="Arial" w:cs="Arial"/>
        </w:rPr>
        <w:t xml:space="preserve"> The focus on economic sectors helps to develop common focus across work packages. Still this is not an obvious or ‘natural’ empirical focus for WP2 and WP4. One could consider every sector as a fictional separate entity. Analysis could also, for example, follow one particular </w:t>
      </w:r>
      <w:r w:rsidRPr="006A6413">
        <w:rPr>
          <w:rFonts w:ascii="Arial" w:eastAsia="Arial" w:hAnsi="Arial" w:cs="Arial"/>
          <w:b/>
        </w:rPr>
        <w:t>object</w:t>
      </w:r>
      <w:r>
        <w:rPr>
          <w:rFonts w:ascii="Arial" w:eastAsia="Arial" w:hAnsi="Arial" w:cs="Arial"/>
        </w:rPr>
        <w:t xml:space="preserve"> (e.g health monitoring technologies) and see how its trajectories cross different sectors (and then assessing the interconnection of such sectors and their consequences). Or one could follow the sector and describe every activity and sectors attached to it. </w:t>
      </w:r>
    </w:p>
    <w:p w14:paraId="150835D6" w14:textId="77777777" w:rsidR="009F00EC" w:rsidRPr="0093194D" w:rsidRDefault="009F00EC" w:rsidP="009F00EC">
      <w:pPr>
        <w:numPr>
          <w:ilvl w:val="0"/>
          <w:numId w:val="12"/>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Policy relevance:</w:t>
      </w:r>
      <w:r>
        <w:rPr>
          <w:rFonts w:ascii="Arial" w:eastAsia="Arial" w:hAnsi="Arial" w:cs="Arial"/>
        </w:rPr>
        <w:t xml:space="preserve"> </w:t>
      </w:r>
      <w:r>
        <w:rPr>
          <w:rFonts w:ascii="Arial" w:eastAsia="Arial" w:hAnsi="Arial" w:cs="Arial"/>
          <w:color w:val="000000"/>
        </w:rPr>
        <w:t xml:space="preserve">Cases </w:t>
      </w:r>
      <w:r>
        <w:rPr>
          <w:rFonts w:ascii="Arial" w:eastAsia="Arial" w:hAnsi="Arial" w:cs="Arial"/>
        </w:rPr>
        <w:t>should allow</w:t>
      </w:r>
      <w:r>
        <w:rPr>
          <w:rFonts w:ascii="Arial" w:eastAsia="Arial" w:hAnsi="Arial" w:cs="Arial"/>
          <w:color w:val="000000"/>
        </w:rPr>
        <w:t xml:space="preserve"> concrete analysis of ‘dual transition’ processes, informing development of LAMARTRA ‘policy mixes’/practical implications. </w:t>
      </w:r>
      <w:r>
        <w:rPr>
          <w:rFonts w:ascii="Arial" w:eastAsia="Arial" w:hAnsi="Arial" w:cs="Arial"/>
        </w:rPr>
        <w:t>With that aim in mind, the project proposal indicates various examples</w:t>
      </w:r>
      <w:r>
        <w:rPr>
          <w:rStyle w:val="FootnoteReference"/>
          <w:rFonts w:ascii="Arial" w:eastAsia="Arial" w:hAnsi="Arial" w:cs="Arial"/>
        </w:rPr>
        <w:footnoteReference w:id="3"/>
      </w:r>
      <w:r>
        <w:rPr>
          <w:rFonts w:ascii="Arial" w:eastAsia="Arial" w:hAnsi="Arial" w:cs="Arial"/>
        </w:rPr>
        <w:t xml:space="preserve">. Earlier </w:t>
      </w:r>
      <w:r w:rsidRPr="0030051F">
        <w:rPr>
          <w:rFonts w:ascii="Arial" w:eastAsia="Arial" w:hAnsi="Arial" w:cs="Arial"/>
        </w:rPr>
        <w:t>exploratory interviews with stakeholders and experts</w:t>
      </w:r>
      <w:r>
        <w:rPr>
          <w:vertAlign w:val="superscript"/>
        </w:rPr>
        <w:footnoteReference w:id="4"/>
      </w:r>
      <w:r>
        <w:rPr>
          <w:rFonts w:ascii="Arial" w:eastAsia="Arial" w:hAnsi="Arial" w:cs="Arial"/>
        </w:rPr>
        <w:t xml:space="preserve"> have yielded criteria ase selection criteria such as </w:t>
      </w:r>
      <w:r w:rsidRPr="002C54C5">
        <w:rPr>
          <w:rFonts w:ascii="Arial" w:eastAsia="Arial" w:hAnsi="Arial" w:cs="Arial"/>
          <w:b/>
        </w:rPr>
        <w:t>transformation effects</w:t>
      </w:r>
      <w:r>
        <w:rPr>
          <w:rFonts w:ascii="Arial" w:eastAsia="Arial" w:hAnsi="Arial" w:cs="Arial"/>
        </w:rPr>
        <w:t xml:space="preserve"> (sectors </w:t>
      </w:r>
      <w:r w:rsidRPr="002C54C5">
        <w:rPr>
          <w:rFonts w:ascii="Arial" w:eastAsia="Arial" w:hAnsi="Arial" w:cs="Arial"/>
        </w:rPr>
        <w:t>expected</w:t>
      </w:r>
      <w:r w:rsidRPr="002C54C5">
        <w:rPr>
          <w:rFonts w:ascii="Arial" w:eastAsia="Arial" w:hAnsi="Arial" w:cs="Arial"/>
          <w:color w:val="000000"/>
        </w:rPr>
        <w:t xml:space="preserve"> to </w:t>
      </w:r>
      <w:r w:rsidRPr="002C54C5">
        <w:rPr>
          <w:rFonts w:ascii="Arial" w:eastAsia="Arial" w:hAnsi="Arial" w:cs="Arial"/>
        </w:rPr>
        <w:t>emerge</w:t>
      </w:r>
      <w:r w:rsidRPr="002C54C5">
        <w:rPr>
          <w:rFonts w:ascii="Arial" w:eastAsia="Arial" w:hAnsi="Arial" w:cs="Arial"/>
          <w:color w:val="000000"/>
        </w:rPr>
        <w:t>, develop, transform, decline</w:t>
      </w:r>
      <w:r w:rsidRPr="002C54C5">
        <w:rPr>
          <w:rFonts w:ascii="Arial" w:eastAsia="Arial" w:hAnsi="Arial" w:cs="Arial"/>
        </w:rPr>
        <w:t>,</w:t>
      </w:r>
      <w:r w:rsidRPr="002C54C5">
        <w:rPr>
          <w:rFonts w:ascii="Arial" w:eastAsia="Arial" w:hAnsi="Arial" w:cs="Arial"/>
          <w:color w:val="000000"/>
        </w:rPr>
        <w:t xml:space="preserve"> disappear or to relocate as part of the transition towards a carbon neutral Belgium</w:t>
      </w:r>
      <w:r>
        <w:rPr>
          <w:rFonts w:ascii="Arial" w:eastAsia="Arial" w:hAnsi="Arial" w:cs="Arial"/>
          <w:color w:val="000000"/>
        </w:rPr>
        <w:t xml:space="preserve">), </w:t>
      </w:r>
      <w:r w:rsidRPr="0093194D">
        <w:rPr>
          <w:rFonts w:ascii="Arial" w:eastAsia="Arial" w:hAnsi="Arial" w:cs="Arial"/>
          <w:b/>
        </w:rPr>
        <w:t>impacts</w:t>
      </w:r>
      <w:r w:rsidRPr="002C54C5">
        <w:rPr>
          <w:rFonts w:ascii="Arial" w:eastAsia="Arial" w:hAnsi="Arial" w:cs="Arial"/>
        </w:rPr>
        <w:t xml:space="preserve"> on the Belgian </w:t>
      </w:r>
      <w:r w:rsidRPr="0093194D">
        <w:rPr>
          <w:rFonts w:ascii="Arial" w:eastAsia="Arial" w:hAnsi="Arial" w:cs="Arial"/>
          <w:b/>
        </w:rPr>
        <w:t>labour market</w:t>
      </w:r>
      <w:r>
        <w:rPr>
          <w:rFonts w:ascii="Arial" w:eastAsia="Arial" w:hAnsi="Arial" w:cs="Arial"/>
        </w:rPr>
        <w:t xml:space="preserve"> (creation of new jobs and associated skills</w:t>
      </w:r>
      <w:r w:rsidRPr="002C54C5">
        <w:rPr>
          <w:rFonts w:ascii="Arial" w:eastAsia="Arial" w:hAnsi="Arial" w:cs="Arial"/>
        </w:rPr>
        <w:t xml:space="preserve">, the redefinition or the transformation </w:t>
      </w:r>
      <w:r>
        <w:rPr>
          <w:rFonts w:ascii="Arial" w:eastAsia="Arial" w:hAnsi="Arial" w:cs="Arial"/>
        </w:rPr>
        <w:t>of existing jobs and skills</w:t>
      </w:r>
      <w:r w:rsidRPr="002C54C5">
        <w:rPr>
          <w:rFonts w:ascii="Arial" w:eastAsia="Arial" w:hAnsi="Arial" w:cs="Arial"/>
        </w:rPr>
        <w:t>, and the disappearance of jobs that have become obsolete</w:t>
      </w:r>
      <w:r>
        <w:rPr>
          <w:rFonts w:ascii="Arial" w:eastAsia="Arial" w:hAnsi="Arial" w:cs="Arial"/>
        </w:rPr>
        <w:t>), or challenges</w:t>
      </w:r>
      <w:r w:rsidRPr="0093194D">
        <w:rPr>
          <w:rFonts w:ascii="Arial" w:eastAsia="Arial" w:hAnsi="Arial" w:cs="Arial"/>
        </w:rPr>
        <w:t xml:space="preserve"> of </w:t>
      </w:r>
      <w:r w:rsidRPr="0093194D">
        <w:rPr>
          <w:rFonts w:ascii="Arial" w:eastAsia="Arial" w:hAnsi="Arial" w:cs="Arial"/>
          <w:b/>
        </w:rPr>
        <w:t>social justice</w:t>
      </w:r>
      <w:r w:rsidRPr="0093194D">
        <w:rPr>
          <w:rFonts w:ascii="Arial" w:eastAsia="Arial" w:hAnsi="Arial" w:cs="Arial"/>
        </w:rPr>
        <w:t>.</w:t>
      </w:r>
      <w:r>
        <w:rPr>
          <w:rFonts w:ascii="Arial" w:eastAsia="Arial" w:hAnsi="Arial" w:cs="Arial"/>
        </w:rPr>
        <w:t xml:space="preserve"> The </w:t>
      </w:r>
      <w:r w:rsidRPr="0093194D">
        <w:rPr>
          <w:rFonts w:ascii="Arial" w:eastAsia="Arial" w:hAnsi="Arial" w:cs="Arial"/>
        </w:rPr>
        <w:t xml:space="preserve">following sectors have been identified as policy relevant: </w:t>
      </w:r>
      <w:r w:rsidRPr="0093194D">
        <w:rPr>
          <w:rFonts w:ascii="Arial" w:eastAsia="Arial" w:hAnsi="Arial" w:cs="Arial"/>
          <w:b/>
        </w:rPr>
        <w:t>Construction</w:t>
      </w:r>
      <w:r w:rsidRPr="0093194D">
        <w:rPr>
          <w:rFonts w:ascii="Arial" w:eastAsia="Arial" w:hAnsi="Arial" w:cs="Arial"/>
        </w:rPr>
        <w:t xml:space="preserve"> (i.e.: high potential for job creation; problem of shortage of skilled workforce)</w:t>
      </w:r>
      <w:r>
        <w:rPr>
          <w:rFonts w:ascii="Arial" w:eastAsia="Arial" w:hAnsi="Arial" w:cs="Arial"/>
        </w:rPr>
        <w:t xml:space="preserve">, </w:t>
      </w:r>
      <w:r w:rsidRPr="0093194D">
        <w:rPr>
          <w:rFonts w:ascii="Arial" w:eastAsia="Arial" w:hAnsi="Arial" w:cs="Arial"/>
          <w:b/>
        </w:rPr>
        <w:t xml:space="preserve">Energy-intensive industries </w:t>
      </w:r>
      <w:r w:rsidRPr="0093194D">
        <w:rPr>
          <w:rFonts w:ascii="Arial" w:eastAsia="Arial" w:hAnsi="Arial" w:cs="Arial"/>
        </w:rPr>
        <w:t>(i.e.: potential d</w:t>
      </w:r>
      <w:r>
        <w:rPr>
          <w:rFonts w:ascii="Arial" w:eastAsia="Arial" w:hAnsi="Arial" w:cs="Arial"/>
        </w:rPr>
        <w:t xml:space="preserve">isappearance of existing jobs), </w:t>
      </w:r>
      <w:r w:rsidRPr="0093194D">
        <w:rPr>
          <w:rFonts w:ascii="Arial" w:eastAsia="Arial" w:hAnsi="Arial" w:cs="Arial"/>
          <w:b/>
        </w:rPr>
        <w:t>Petrochemistry</w:t>
      </w:r>
      <w:r w:rsidRPr="0093194D">
        <w:rPr>
          <w:rFonts w:ascii="Arial" w:eastAsia="Arial" w:hAnsi="Arial" w:cs="Arial"/>
        </w:rPr>
        <w:t xml:space="preserve"> </w:t>
      </w:r>
      <w:r>
        <w:rPr>
          <w:rFonts w:ascii="Arial" w:eastAsia="Arial" w:hAnsi="Arial" w:cs="Arial"/>
        </w:rPr>
        <w:t xml:space="preserve">as strategically important sector, </w:t>
      </w:r>
      <w:r>
        <w:rPr>
          <w:rFonts w:ascii="Arial" w:eastAsia="Arial" w:hAnsi="Arial" w:cs="Arial"/>
          <w:b/>
        </w:rPr>
        <w:t xml:space="preserve">Steel, </w:t>
      </w:r>
      <w:r w:rsidRPr="0093194D">
        <w:rPr>
          <w:rFonts w:ascii="Arial" w:eastAsia="Arial" w:hAnsi="Arial" w:cs="Arial"/>
          <w:b/>
        </w:rPr>
        <w:t>Cement</w:t>
      </w:r>
      <w:r>
        <w:rPr>
          <w:rFonts w:ascii="Arial" w:eastAsia="Arial" w:hAnsi="Arial" w:cs="Arial"/>
        </w:rPr>
        <w:t xml:space="preserve">, </w:t>
      </w:r>
      <w:r w:rsidRPr="0093194D">
        <w:rPr>
          <w:rFonts w:ascii="Arial" w:eastAsia="Arial" w:hAnsi="Arial" w:cs="Arial"/>
          <w:b/>
        </w:rPr>
        <w:t>Transport</w:t>
      </w:r>
      <w:r>
        <w:rPr>
          <w:rFonts w:ascii="Arial" w:eastAsia="Arial" w:hAnsi="Arial" w:cs="Arial"/>
        </w:rPr>
        <w:t xml:space="preserve"> (creation of new jobs and</w:t>
      </w:r>
      <w:r w:rsidRPr="0093194D">
        <w:rPr>
          <w:rFonts w:ascii="Arial" w:eastAsia="Arial" w:hAnsi="Arial" w:cs="Arial"/>
        </w:rPr>
        <w:t xml:space="preserve"> disappearance/transformation of existing jobs)</w:t>
      </w:r>
      <w:r>
        <w:rPr>
          <w:rFonts w:ascii="Arial" w:eastAsia="Arial" w:hAnsi="Arial" w:cs="Arial"/>
        </w:rPr>
        <w:t xml:space="preserve">, </w:t>
      </w:r>
      <w:r w:rsidRPr="0093194D">
        <w:rPr>
          <w:rFonts w:ascii="Arial" w:eastAsia="Arial" w:hAnsi="Arial" w:cs="Arial"/>
          <w:b/>
        </w:rPr>
        <w:t>Wind energy</w:t>
      </w:r>
      <w:r w:rsidRPr="0093194D">
        <w:rPr>
          <w:rFonts w:ascii="Arial" w:eastAsia="Arial" w:hAnsi="Arial" w:cs="Arial"/>
        </w:rPr>
        <w:t xml:space="preserve"> (i.e.: issue of the quality of the jobs created)</w:t>
      </w:r>
    </w:p>
    <w:p w14:paraId="77062097" w14:textId="77777777" w:rsidR="009F00EC" w:rsidRDefault="00636AA3" w:rsidP="009F00EC">
      <w:pPr>
        <w:numPr>
          <w:ilvl w:val="0"/>
          <w:numId w:val="12"/>
        </w:numPr>
        <w:pBdr>
          <w:top w:val="nil"/>
          <w:left w:val="nil"/>
          <w:bottom w:val="nil"/>
          <w:right w:val="nil"/>
          <w:between w:val="nil"/>
        </w:pBdr>
        <w:spacing w:before="120" w:after="120"/>
        <w:ind w:left="0" w:firstLine="284"/>
        <w:jc w:val="both"/>
        <w:rPr>
          <w:rFonts w:ascii="Arial" w:eastAsia="Arial" w:hAnsi="Arial" w:cs="Arial"/>
        </w:rPr>
      </w:pPr>
      <w:sdt>
        <w:sdtPr>
          <w:tag w:val="goog_rdk_1"/>
          <w:id w:val="-1117139138"/>
        </w:sdtPr>
        <w:sdtEndPr/>
        <w:sdtContent/>
      </w:sdt>
      <w:r w:rsidR="009F00EC">
        <w:rPr>
          <w:rFonts w:ascii="Arial" w:eastAsia="Arial" w:hAnsi="Arial" w:cs="Arial"/>
          <w:b/>
        </w:rPr>
        <w:t>Transdisciplinary dimension:</w:t>
      </w:r>
      <w:r w:rsidR="009F00EC">
        <w:rPr>
          <w:rFonts w:ascii="Arial" w:eastAsia="Arial" w:hAnsi="Arial" w:cs="Arial"/>
        </w:rPr>
        <w:t xml:space="preserve"> For sake of practical salience and translation into practice, c</w:t>
      </w:r>
      <w:r w:rsidR="009F00EC">
        <w:rPr>
          <w:rFonts w:ascii="Arial" w:eastAsia="Arial" w:hAnsi="Arial" w:cs="Arial"/>
          <w:color w:val="000000"/>
        </w:rPr>
        <w:t xml:space="preserve">ase selection/demarcation </w:t>
      </w:r>
      <w:r w:rsidR="009F00EC">
        <w:rPr>
          <w:rFonts w:ascii="Arial" w:eastAsia="Arial" w:hAnsi="Arial" w:cs="Arial"/>
        </w:rPr>
        <w:t>should</w:t>
      </w:r>
      <w:r w:rsidR="009F00EC">
        <w:rPr>
          <w:rFonts w:ascii="Arial" w:eastAsia="Arial" w:hAnsi="Arial" w:cs="Arial"/>
          <w:color w:val="000000"/>
        </w:rPr>
        <w:t xml:space="preserve"> be informed through exchanges with practitioners and Follow-up Committee </w:t>
      </w:r>
      <w:r w:rsidR="009F00EC" w:rsidRPr="007A3D6B">
        <w:rPr>
          <w:rFonts w:ascii="Arial" w:eastAsia="Arial" w:hAnsi="Arial" w:cs="Arial"/>
          <w:color w:val="000000"/>
        </w:rPr>
        <w:t>(see Chapter 4)</w:t>
      </w:r>
      <w:r w:rsidR="009F00EC">
        <w:rPr>
          <w:rFonts w:ascii="Arial" w:eastAsia="Arial" w:hAnsi="Arial" w:cs="Arial"/>
          <w:color w:val="000000"/>
        </w:rPr>
        <w:t xml:space="preserve">. Also the further </w:t>
      </w:r>
      <w:r w:rsidR="009F00EC">
        <w:rPr>
          <w:rFonts w:ascii="Arial" w:eastAsia="Arial" w:hAnsi="Arial" w:cs="Arial"/>
        </w:rPr>
        <w:t xml:space="preserve">demarcation of cases in the separate WP2-5 methodological protocols will be fine-tuned through </w:t>
      </w:r>
      <w:r w:rsidR="009F00EC">
        <w:rPr>
          <w:rFonts w:ascii="Arial" w:eastAsia="Arial" w:hAnsi="Arial" w:cs="Arial"/>
        </w:rPr>
        <w:lastRenderedPageBreak/>
        <w:t>exchanges with practitioners (exploratory interviews). One way to developing the transdisciplinary angle on case methodology is to focus</w:t>
      </w:r>
      <w:r w:rsidR="009F00EC" w:rsidRPr="0055398E">
        <w:rPr>
          <w:rFonts w:ascii="Arial" w:eastAsia="Arial" w:hAnsi="Arial" w:cs="Arial"/>
        </w:rPr>
        <w:t xml:space="preserve"> </w:t>
      </w:r>
      <w:r w:rsidR="009F00EC">
        <w:rPr>
          <w:rFonts w:ascii="Arial" w:eastAsia="Arial" w:hAnsi="Arial" w:cs="Arial"/>
        </w:rPr>
        <w:t>on certain ‘flagships’</w:t>
      </w:r>
      <w:r w:rsidR="009F00EC" w:rsidRPr="0055398E">
        <w:rPr>
          <w:rFonts w:ascii="Arial" w:eastAsia="Arial" w:hAnsi="Arial" w:cs="Arial"/>
        </w:rPr>
        <w:t xml:space="preserve"> </w:t>
      </w:r>
      <w:r w:rsidR="009F00EC">
        <w:rPr>
          <w:rFonts w:ascii="Arial" w:eastAsia="Arial" w:hAnsi="Arial" w:cs="Arial"/>
        </w:rPr>
        <w:t>of the Walloon/Flemish industry.</w:t>
      </w:r>
      <w:r w:rsidR="009F00EC" w:rsidRPr="0055398E">
        <w:rPr>
          <w:rFonts w:ascii="Arial" w:eastAsia="Arial" w:hAnsi="Arial" w:cs="Arial"/>
        </w:rPr>
        <w:t xml:space="preserve"> This would make it easier to convince (future) participants to take part in the project, and to attract policy-makers’ attention.</w:t>
      </w:r>
    </w:p>
    <w:p w14:paraId="411D367E" w14:textId="77777777" w:rsidR="009F00EC" w:rsidRDefault="009F00EC" w:rsidP="009F00EC">
      <w:pPr>
        <w:numPr>
          <w:ilvl w:val="0"/>
          <w:numId w:val="12"/>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Quali-quantitative bridging:</w:t>
      </w:r>
      <w:r>
        <w:rPr>
          <w:rFonts w:ascii="Arial" w:eastAsia="Arial" w:hAnsi="Arial" w:cs="Arial"/>
        </w:rPr>
        <w:t xml:space="preserve"> </w:t>
      </w:r>
      <w:r>
        <w:rPr>
          <w:rFonts w:ascii="Arial" w:eastAsia="Arial" w:hAnsi="Arial" w:cs="Arial"/>
          <w:color w:val="000000"/>
        </w:rPr>
        <w:t xml:space="preserve">Cases need allow for bridging between quali-quantitative analyses. The mixed methods approach should ensure a minimum of synergy and convergence between the quantitative analysis of WP3 on the one hand, and the qualitative analyses of WP2, 4 and 5 on the other hand. </w:t>
      </w:r>
    </w:p>
    <w:p w14:paraId="18C06082" w14:textId="1E0C71B4" w:rsidR="009F00EC" w:rsidRPr="00D24155" w:rsidRDefault="009F00EC" w:rsidP="009F00EC">
      <w:pPr>
        <w:numPr>
          <w:ilvl w:val="0"/>
          <w:numId w:val="12"/>
        </w:numPr>
        <w:pBdr>
          <w:top w:val="nil"/>
          <w:left w:val="nil"/>
          <w:bottom w:val="nil"/>
          <w:right w:val="nil"/>
          <w:between w:val="nil"/>
        </w:pBdr>
        <w:spacing w:before="120" w:after="120"/>
        <w:ind w:left="0" w:firstLine="284"/>
        <w:jc w:val="both"/>
        <w:rPr>
          <w:rFonts w:ascii="Arial" w:eastAsia="Arial" w:hAnsi="Arial" w:cs="Arial"/>
        </w:rPr>
      </w:pPr>
      <w:r w:rsidRPr="00D24155">
        <w:rPr>
          <w:rFonts w:ascii="Arial" w:eastAsia="Arial" w:hAnsi="Arial" w:cs="Arial"/>
          <w:b/>
        </w:rPr>
        <w:t xml:space="preserve">Diverse cases: </w:t>
      </w:r>
      <w:r w:rsidRPr="00D24155">
        <w:rPr>
          <w:rFonts w:ascii="Arial" w:eastAsia="Arial" w:hAnsi="Arial" w:cs="Arial"/>
          <w:color w:val="000000"/>
        </w:rPr>
        <w:t>Cases should be theoretically well-defined</w:t>
      </w:r>
      <w:r>
        <w:rPr>
          <w:rFonts w:ascii="Arial" w:eastAsia="Arial" w:hAnsi="Arial" w:cs="Arial"/>
          <w:color w:val="000000"/>
        </w:rPr>
        <w:t>,</w:t>
      </w:r>
      <w:r w:rsidRPr="00D24155">
        <w:rPr>
          <w:rFonts w:ascii="Arial" w:eastAsia="Arial" w:hAnsi="Arial" w:cs="Arial"/>
          <w:color w:val="000000"/>
        </w:rPr>
        <w:t xml:space="preserve"> </w:t>
      </w:r>
      <w:r>
        <w:rPr>
          <w:rFonts w:ascii="Arial" w:eastAsia="Arial" w:hAnsi="Arial" w:cs="Arial"/>
          <w:color w:val="000000"/>
        </w:rPr>
        <w:t xml:space="preserve">with a clear aim of comparison (Hassenteufel 2005) - </w:t>
      </w:r>
      <w:r w:rsidRPr="00D24155">
        <w:rPr>
          <w:rFonts w:ascii="Arial" w:eastAsia="Arial" w:hAnsi="Arial" w:cs="Arial"/>
          <w:color w:val="000000"/>
        </w:rPr>
        <w:t>identify</w:t>
      </w:r>
      <w:r>
        <w:rPr>
          <w:rFonts w:ascii="Arial" w:eastAsia="Arial" w:hAnsi="Arial" w:cs="Arial"/>
          <w:color w:val="000000"/>
        </w:rPr>
        <w:t>ing</w:t>
      </w:r>
      <w:r w:rsidRPr="00D24155">
        <w:rPr>
          <w:rFonts w:ascii="Arial" w:eastAsia="Arial" w:hAnsi="Arial" w:cs="Arial"/>
          <w:color w:val="000000"/>
        </w:rPr>
        <w:t xml:space="preserve"> challenges of the 'double transition of labour/decarbonization' and possible combinations of govern</w:t>
      </w:r>
      <w:r>
        <w:rPr>
          <w:rFonts w:ascii="Arial" w:eastAsia="Arial" w:hAnsi="Arial" w:cs="Arial"/>
          <w:color w:val="000000"/>
        </w:rPr>
        <w:t xml:space="preserve">ance responses </w:t>
      </w:r>
      <w:r w:rsidRPr="00D24155">
        <w:rPr>
          <w:rFonts w:ascii="Arial" w:eastAsia="Arial" w:hAnsi="Arial" w:cs="Arial"/>
          <w:color w:val="000000"/>
        </w:rPr>
        <w:t>to those.</w:t>
      </w:r>
      <w:r>
        <w:rPr>
          <w:rFonts w:ascii="Arial" w:eastAsia="Arial" w:hAnsi="Arial" w:cs="Arial"/>
          <w:color w:val="000000"/>
        </w:rPr>
        <w:t xml:space="preserve"> Defining case</w:t>
      </w:r>
      <w:r w:rsidRPr="00D24155">
        <w:rPr>
          <w:rFonts w:ascii="Arial" w:eastAsia="Arial" w:hAnsi="Arial" w:cs="Arial"/>
          <w:color w:val="000000"/>
        </w:rPr>
        <w:t xml:space="preserve"> characteristics enables the comparison against other (negative/positive) reference cases</w:t>
      </w:r>
      <w:r>
        <w:rPr>
          <w:rStyle w:val="FootnoteReference"/>
          <w:rFonts w:ascii="Arial" w:eastAsia="Arial" w:hAnsi="Arial" w:cs="Arial"/>
          <w:color w:val="000000"/>
        </w:rPr>
        <w:footnoteReference w:id="5"/>
      </w:r>
      <w:r w:rsidRPr="00D24155">
        <w:rPr>
          <w:rFonts w:ascii="Arial" w:eastAsia="Arial" w:hAnsi="Arial" w:cs="Arial"/>
          <w:color w:val="000000"/>
        </w:rPr>
        <w:t>, and provides the outlines of a future typology (the illuminating exemplars, but also the systematic typology, to inform policy)</w:t>
      </w:r>
      <w:r w:rsidRPr="00D24155">
        <w:rPr>
          <w:rFonts w:ascii="Arial" w:eastAsia="Arial" w:hAnsi="Arial" w:cs="Arial"/>
        </w:rPr>
        <w:t xml:space="preserve">. </w:t>
      </w:r>
      <w:r w:rsidRPr="00D24155">
        <w:rPr>
          <w:rFonts w:ascii="Arial" w:eastAsia="Arial" w:hAnsi="Arial" w:cs="Arial"/>
          <w:color w:val="000000"/>
        </w:rPr>
        <w:t xml:space="preserve">It is through consciously-selected case </w:t>
      </w:r>
      <w:r w:rsidRPr="00D24155">
        <w:rPr>
          <w:rFonts w:ascii="Arial" w:eastAsia="Arial" w:hAnsi="Arial" w:cs="Arial"/>
        </w:rPr>
        <w:t xml:space="preserve">diversity that the sum of the four case studies will be greater than the parts (Cf. Seawright &amp; Gerring 2008). The sample </w:t>
      </w:r>
      <w:r w:rsidRPr="00D24155">
        <w:rPr>
          <w:rFonts w:ascii="Arial" w:eastAsia="Arial" w:hAnsi="Arial" w:cs="Arial"/>
          <w:i/>
        </w:rPr>
        <w:t>as a whole</w:t>
      </w:r>
      <w:r w:rsidRPr="00D24155">
        <w:rPr>
          <w:rFonts w:ascii="Arial" w:eastAsia="Arial" w:hAnsi="Arial" w:cs="Arial"/>
        </w:rPr>
        <w:t xml:space="preserve"> should cover the </w:t>
      </w:r>
      <w:r w:rsidRPr="00D24155">
        <w:rPr>
          <w:rFonts w:ascii="Arial" w:eastAsia="Arial" w:hAnsi="Arial" w:cs="Arial"/>
          <w:b/>
        </w:rPr>
        <w:t>range of ‘two transitions’ dynamics</w:t>
      </w:r>
      <w:r w:rsidRPr="00D24155">
        <w:rPr>
          <w:rFonts w:ascii="Arial" w:eastAsia="Arial" w:hAnsi="Arial" w:cs="Arial"/>
        </w:rPr>
        <w:t xml:space="preserve"> (creation, redefinition/transformation</w:t>
      </w:r>
      <w:r w:rsidRPr="00D24155">
        <w:rPr>
          <w:rFonts w:ascii="Arial" w:eastAsia="Arial" w:hAnsi="Arial" w:cs="Arial"/>
          <w:i/>
        </w:rPr>
        <w:t xml:space="preserve">, </w:t>
      </w:r>
      <w:r w:rsidRPr="00D24155">
        <w:rPr>
          <w:rFonts w:ascii="Arial" w:eastAsia="Arial" w:hAnsi="Arial" w:cs="Arial"/>
        </w:rPr>
        <w:t>and disappearance of jobs and associated skills) and also atten</w:t>
      </w:r>
      <w:r>
        <w:rPr>
          <w:rFonts w:ascii="Arial" w:eastAsia="Arial" w:hAnsi="Arial" w:cs="Arial"/>
        </w:rPr>
        <w:t>d</w:t>
      </w:r>
      <w:r w:rsidRPr="00D24155">
        <w:rPr>
          <w:rFonts w:ascii="Arial" w:eastAsia="Arial" w:hAnsi="Arial" w:cs="Arial"/>
        </w:rPr>
        <w:t xml:space="preserve"> to the shades of grey within apparently </w:t>
      </w:r>
      <w:r w:rsidRPr="00D24155">
        <w:rPr>
          <w:rFonts w:ascii="Arial" w:eastAsia="Arial" w:hAnsi="Arial" w:cs="Arial"/>
          <w:b/>
        </w:rPr>
        <w:t>‘positive’</w:t>
      </w:r>
      <w:r w:rsidRPr="00D24155">
        <w:rPr>
          <w:rFonts w:ascii="Arial" w:eastAsia="Arial" w:hAnsi="Arial" w:cs="Arial"/>
        </w:rPr>
        <w:t xml:space="preserve"> or </w:t>
      </w:r>
      <w:r w:rsidRPr="00D24155">
        <w:rPr>
          <w:rFonts w:ascii="Arial" w:eastAsia="Arial" w:hAnsi="Arial" w:cs="Arial"/>
          <w:b/>
        </w:rPr>
        <w:t>‘negative’</w:t>
      </w:r>
      <w:r w:rsidRPr="00D24155">
        <w:rPr>
          <w:rFonts w:ascii="Arial" w:eastAsia="Arial" w:hAnsi="Arial" w:cs="Arial"/>
        </w:rPr>
        <w:t xml:space="preserve"> cases</w:t>
      </w:r>
      <w:r w:rsidRPr="00D24155">
        <w:rPr>
          <w:rFonts w:ascii="Arial" w:eastAsia="Arial" w:hAnsi="Arial" w:cs="Arial"/>
          <w:color w:val="000000"/>
        </w:rPr>
        <w:t xml:space="preserve"> (bright cases </w:t>
      </w:r>
      <w:r w:rsidRPr="00D24155">
        <w:rPr>
          <w:rFonts w:ascii="Arial" w:eastAsia="Arial" w:hAnsi="Arial" w:cs="Arial"/>
        </w:rPr>
        <w:t xml:space="preserve">mainly characterized by </w:t>
      </w:r>
      <w:r w:rsidRPr="00D24155">
        <w:rPr>
          <w:rFonts w:ascii="Arial" w:eastAsia="Arial" w:hAnsi="Arial" w:cs="Arial"/>
          <w:color w:val="000000"/>
        </w:rPr>
        <w:t>‘niche innovation’ and emerg</w:t>
      </w:r>
      <w:r w:rsidRPr="00D24155">
        <w:rPr>
          <w:rFonts w:ascii="Arial" w:eastAsia="Arial" w:hAnsi="Arial" w:cs="Arial"/>
        </w:rPr>
        <w:t xml:space="preserve">ing new jobs, and </w:t>
      </w:r>
      <w:r w:rsidRPr="00D24155">
        <w:rPr>
          <w:rFonts w:ascii="Arial" w:eastAsia="Arial" w:hAnsi="Arial" w:cs="Arial"/>
          <w:color w:val="000000"/>
        </w:rPr>
        <w:t>the somewhat more grim cases in which ‘exnovation’/decline is the dominant development</w:t>
      </w:r>
      <w:r w:rsidRPr="00D24155">
        <w:rPr>
          <w:rFonts w:ascii="Arial" w:eastAsia="Arial" w:hAnsi="Arial" w:cs="Arial"/>
          <w:color w:val="000000"/>
          <w:vertAlign w:val="superscript"/>
        </w:rPr>
        <w:t>)</w:t>
      </w:r>
      <w:r w:rsidRPr="00D24155">
        <w:rPr>
          <w:rFonts w:ascii="Arial" w:eastAsia="Arial" w:hAnsi="Arial" w:cs="Arial"/>
          <w:color w:val="000000"/>
        </w:rPr>
        <w:t xml:space="preserve"> (WP2), or balancing between regime of </w:t>
      </w:r>
      <w:r w:rsidRPr="00D24155">
        <w:rPr>
          <w:rFonts w:ascii="Arial" w:eastAsia="Arial" w:hAnsi="Arial" w:cs="Arial"/>
          <w:b/>
          <w:color w:val="000000"/>
        </w:rPr>
        <w:t>promise</w:t>
      </w:r>
      <w:r w:rsidRPr="00D24155">
        <w:rPr>
          <w:rFonts w:ascii="Arial" w:eastAsia="Arial" w:hAnsi="Arial" w:cs="Arial"/>
          <w:color w:val="000000"/>
        </w:rPr>
        <w:t xml:space="preserve"> and regime of </w:t>
      </w:r>
      <w:r w:rsidRPr="00D24155">
        <w:rPr>
          <w:rFonts w:ascii="Arial" w:eastAsia="Arial" w:hAnsi="Arial" w:cs="Arial"/>
          <w:b/>
          <w:color w:val="000000"/>
        </w:rPr>
        <w:t>fear</w:t>
      </w:r>
      <w:r w:rsidRPr="00D24155">
        <w:rPr>
          <w:rFonts w:ascii="Arial" w:eastAsia="Arial" w:hAnsi="Arial" w:cs="Arial"/>
          <w:color w:val="000000"/>
        </w:rPr>
        <w:t xml:space="preserve"> (WP4). The </w:t>
      </w:r>
      <w:r w:rsidRPr="00D24155">
        <w:rPr>
          <w:rFonts w:ascii="Arial" w:eastAsia="Arial" w:hAnsi="Arial" w:cs="Arial"/>
          <w:b/>
          <w:color w:val="000000"/>
        </w:rPr>
        <w:t>‘best-in-class’ logic</w:t>
      </w:r>
      <w:r w:rsidRPr="00D24155">
        <w:rPr>
          <w:rFonts w:ascii="Arial" w:eastAsia="Arial" w:hAnsi="Arial" w:cs="Arial"/>
          <w:color w:val="000000"/>
        </w:rPr>
        <w:t xml:space="preserve"> of company-level analyses (WP5) is also a form of conscious selection – the cases can be contrasted against to the </w:t>
      </w:r>
      <w:r>
        <w:rPr>
          <w:rFonts w:ascii="Arial" w:eastAsia="Arial" w:hAnsi="Arial" w:cs="Arial"/>
          <w:color w:val="000000"/>
        </w:rPr>
        <w:t>‘</w:t>
      </w:r>
      <w:r w:rsidRPr="00D24155">
        <w:rPr>
          <w:rFonts w:ascii="Arial" w:eastAsia="Arial" w:hAnsi="Arial" w:cs="Arial"/>
          <w:color w:val="000000"/>
        </w:rPr>
        <w:t xml:space="preserve">weaker </w:t>
      </w:r>
      <w:r>
        <w:rPr>
          <w:rFonts w:ascii="Arial" w:eastAsia="Arial" w:hAnsi="Arial" w:cs="Arial"/>
          <w:color w:val="000000"/>
        </w:rPr>
        <w:t>students’</w:t>
      </w:r>
      <w:r w:rsidRPr="00D24155">
        <w:rPr>
          <w:rFonts w:ascii="Arial" w:eastAsia="Arial" w:hAnsi="Arial" w:cs="Arial"/>
          <w:color w:val="000000"/>
        </w:rPr>
        <w:t xml:space="preserve"> that are struggling</w:t>
      </w:r>
      <w:r>
        <w:rPr>
          <w:rFonts w:ascii="Arial" w:eastAsia="Arial" w:hAnsi="Arial" w:cs="Arial"/>
          <w:color w:val="000000"/>
        </w:rPr>
        <w:t>,</w:t>
      </w:r>
      <w:r w:rsidRPr="00D24155">
        <w:rPr>
          <w:rFonts w:ascii="Arial" w:eastAsia="Arial" w:hAnsi="Arial" w:cs="Arial"/>
          <w:color w:val="000000"/>
        </w:rPr>
        <w:t xml:space="preserve"> or not wa</w:t>
      </w:r>
      <w:r>
        <w:rPr>
          <w:rFonts w:ascii="Arial" w:eastAsia="Arial" w:hAnsi="Arial" w:cs="Arial"/>
          <w:color w:val="000000"/>
        </w:rPr>
        <w:t>nting,</w:t>
      </w:r>
      <w:r w:rsidRPr="00D24155">
        <w:rPr>
          <w:rFonts w:ascii="Arial" w:eastAsia="Arial" w:hAnsi="Arial" w:cs="Arial"/>
          <w:color w:val="000000"/>
        </w:rPr>
        <w:t xml:space="preserve"> </w:t>
      </w:r>
      <w:r>
        <w:rPr>
          <w:rFonts w:ascii="Arial" w:eastAsia="Arial" w:hAnsi="Arial" w:cs="Arial"/>
          <w:color w:val="000000"/>
        </w:rPr>
        <w:t xml:space="preserve">to </w:t>
      </w:r>
      <w:r w:rsidRPr="00D24155">
        <w:rPr>
          <w:rFonts w:ascii="Arial" w:eastAsia="Arial" w:hAnsi="Arial" w:cs="Arial"/>
          <w:color w:val="000000"/>
        </w:rPr>
        <w:t xml:space="preserve">learn. </w:t>
      </w:r>
      <w:r w:rsidRPr="00D24155">
        <w:rPr>
          <w:rFonts w:ascii="Arial" w:eastAsia="Arial" w:hAnsi="Arial" w:cs="Arial"/>
        </w:rPr>
        <w:t>The cases could also cover different types/visions/</w:t>
      </w:r>
      <w:r w:rsidRPr="00D24155">
        <w:rPr>
          <w:rFonts w:ascii="Arial" w:eastAsia="Arial" w:hAnsi="Arial" w:cs="Arial"/>
          <w:b/>
        </w:rPr>
        <w:t>discourses of sustainability transitions</w:t>
      </w:r>
      <w:r w:rsidR="003D45CC">
        <w:rPr>
          <w:rFonts w:ascii="Arial" w:eastAsia="Arial" w:hAnsi="Arial" w:cs="Arial"/>
        </w:rPr>
        <w:t xml:space="preserve"> - e.g.</w:t>
      </w:r>
      <w:r w:rsidRPr="00D24155">
        <w:rPr>
          <w:rFonts w:ascii="Arial" w:eastAsia="Arial" w:hAnsi="Arial" w:cs="Arial"/>
        </w:rPr>
        <w:t xml:space="preserve"> the ‘managerial-technocentrist’ approaches (top-down/state interventionist approaches, technological innovations, high tech...), as different from the ‘radical-ecocentric’ approaches (grassroot/localist/bottom up approaches, social innovations, low tech...) as distinguished by Audet (2014). </w:t>
      </w:r>
    </w:p>
    <w:p w14:paraId="274321D0" w14:textId="77777777" w:rsidR="009F00EC" w:rsidRPr="0055398E" w:rsidRDefault="009F00EC" w:rsidP="009F00EC">
      <w:pPr>
        <w:numPr>
          <w:ilvl w:val="0"/>
          <w:numId w:val="12"/>
        </w:numPr>
        <w:spacing w:before="120" w:after="120"/>
        <w:ind w:left="0" w:firstLine="284"/>
        <w:jc w:val="both"/>
        <w:rPr>
          <w:rFonts w:ascii="Arial" w:eastAsia="Arial" w:hAnsi="Arial" w:cs="Arial"/>
        </w:rPr>
      </w:pPr>
      <w:r>
        <w:rPr>
          <w:rFonts w:ascii="Arial" w:eastAsia="Arial" w:hAnsi="Arial" w:cs="Arial"/>
          <w:b/>
        </w:rPr>
        <w:t xml:space="preserve">Geographical distribution: </w:t>
      </w:r>
      <w:r w:rsidRPr="007A3D6B">
        <w:rPr>
          <w:rFonts w:ascii="Arial" w:eastAsia="Arial" w:hAnsi="Arial" w:cs="Arial"/>
        </w:rPr>
        <w:t>The cases cannot cover the whole of the Belgian economy. An important concern</w:t>
      </w:r>
      <w:r>
        <w:rPr>
          <w:rFonts w:ascii="Arial" w:eastAsia="Arial" w:hAnsi="Arial" w:cs="Arial"/>
          <w:b/>
        </w:rPr>
        <w:t xml:space="preserve"> </w:t>
      </w:r>
      <w:r>
        <w:rPr>
          <w:rFonts w:ascii="Arial" w:eastAsia="Arial" w:hAnsi="Arial" w:cs="Arial"/>
        </w:rPr>
        <w:t xml:space="preserve">is therefore the geographical distribution of the empirical cases. Particular considerations are the balance between </w:t>
      </w:r>
      <w:r w:rsidRPr="0055398E">
        <w:rPr>
          <w:rFonts w:ascii="Arial" w:eastAsia="Arial" w:hAnsi="Arial" w:cs="Arial"/>
          <w:b/>
        </w:rPr>
        <w:t>Flanders/Wallonia</w:t>
      </w:r>
      <w:r>
        <w:rPr>
          <w:rFonts w:ascii="Arial" w:eastAsia="Arial" w:hAnsi="Arial" w:cs="Arial"/>
        </w:rPr>
        <w:t xml:space="preserve"> (and the Brussels Capital region); and the coverage of </w:t>
      </w:r>
      <w:r w:rsidRPr="0055398E">
        <w:rPr>
          <w:rFonts w:ascii="Arial" w:eastAsia="Arial" w:hAnsi="Arial" w:cs="Arial"/>
          <w:b/>
        </w:rPr>
        <w:t>more and less industrialised</w:t>
      </w:r>
      <w:r>
        <w:rPr>
          <w:rFonts w:ascii="Arial" w:eastAsia="Arial" w:hAnsi="Arial" w:cs="Arial"/>
        </w:rPr>
        <w:t xml:space="preserve"> regions. </w:t>
      </w:r>
    </w:p>
    <w:p w14:paraId="5574E015" w14:textId="77777777" w:rsidR="009F00EC" w:rsidRDefault="009F00EC" w:rsidP="009F00EC">
      <w:pPr>
        <w:numPr>
          <w:ilvl w:val="0"/>
          <w:numId w:val="12"/>
        </w:numPr>
        <w:spacing w:before="120" w:after="120"/>
        <w:ind w:left="0" w:firstLine="284"/>
        <w:jc w:val="both"/>
        <w:rPr>
          <w:rFonts w:ascii="Arial" w:eastAsia="Arial" w:hAnsi="Arial" w:cs="Arial"/>
        </w:rPr>
      </w:pPr>
      <w:r>
        <w:rPr>
          <w:rFonts w:ascii="Arial" w:eastAsia="Arial" w:hAnsi="Arial" w:cs="Arial"/>
          <w:b/>
        </w:rPr>
        <w:t>Temporality</w:t>
      </w:r>
      <w:r>
        <w:rPr>
          <w:rFonts w:ascii="Arial" w:eastAsia="Arial" w:hAnsi="Arial" w:cs="Arial"/>
        </w:rPr>
        <w:t xml:space="preserve">: Transitions are long-term processes of structural change in socio-technical systems. The empirical research needs to address actors’ handling and anticipation of these processes. A relevant focus for the empirical studies is the distinction of (short/medium/long term) activities and developments – in between future forecasts and policy targets, and the demands of the present. </w:t>
      </w:r>
    </w:p>
    <w:p w14:paraId="7FC57651" w14:textId="77777777" w:rsidR="009F00EC" w:rsidRPr="001F1DEA" w:rsidRDefault="009F00EC" w:rsidP="009F00EC">
      <w:pPr>
        <w:numPr>
          <w:ilvl w:val="0"/>
          <w:numId w:val="12"/>
        </w:numPr>
        <w:spacing w:before="120" w:after="120"/>
        <w:ind w:left="0" w:firstLine="284"/>
        <w:jc w:val="both"/>
        <w:rPr>
          <w:rFonts w:ascii="Arial" w:eastAsia="Arial" w:hAnsi="Arial" w:cs="Arial"/>
        </w:rPr>
      </w:pPr>
      <w:r w:rsidRPr="001F1DEA">
        <w:rPr>
          <w:rFonts w:ascii="Arial" w:eastAsia="Arial" w:hAnsi="Arial" w:cs="Arial"/>
          <w:b/>
        </w:rPr>
        <w:t>Exemplars and under-exposed cases:</w:t>
      </w:r>
      <w:r w:rsidRPr="001F1DEA">
        <w:rPr>
          <w:rFonts w:ascii="Arial" w:eastAsia="Arial" w:hAnsi="Arial" w:cs="Arial"/>
          <w:color w:val="000000"/>
        </w:rPr>
        <w:t xml:space="preserve"> Reviews of academic literature</w:t>
      </w:r>
      <w:r w:rsidRPr="001F1DEA">
        <w:rPr>
          <w:rFonts w:ascii="Arial" w:eastAsia="Arial" w:hAnsi="Arial" w:cs="Arial"/>
        </w:rPr>
        <w:t xml:space="preserve">, policy documents and ‘grey’ literature bring up various </w:t>
      </w:r>
      <w:r w:rsidRPr="001F1DEA">
        <w:rPr>
          <w:rFonts w:ascii="Arial" w:eastAsia="Arial" w:hAnsi="Arial" w:cs="Arial"/>
          <w:color w:val="000000"/>
        </w:rPr>
        <w:t xml:space="preserve">(in certain aspects) exemplar cases. It is useful to identify the exemplar cases that are highlighted </w:t>
      </w:r>
      <w:r w:rsidRPr="001F1DEA">
        <w:rPr>
          <w:rFonts w:ascii="Arial" w:eastAsia="Arial" w:hAnsi="Arial" w:cs="Arial"/>
        </w:rPr>
        <w:t xml:space="preserve">in </w:t>
      </w:r>
      <w:r w:rsidRPr="001F1DEA">
        <w:rPr>
          <w:rFonts w:ascii="Arial" w:eastAsia="Arial" w:hAnsi="Arial" w:cs="Arial"/>
          <w:color w:val="000000"/>
        </w:rPr>
        <w:t xml:space="preserve">the different WP2-6 literature bases: (e.g. </w:t>
      </w:r>
      <w:r w:rsidRPr="001F1DEA">
        <w:rPr>
          <w:rFonts w:ascii="Arial" w:eastAsia="Arial" w:hAnsi="Arial" w:cs="Arial"/>
        </w:rPr>
        <w:t>a</w:t>
      </w:r>
      <w:r w:rsidRPr="001F1DEA">
        <w:rPr>
          <w:rFonts w:ascii="Arial" w:eastAsia="Arial" w:hAnsi="Arial" w:cs="Arial"/>
          <w:color w:val="000000"/>
        </w:rPr>
        <w:t>utomotive industry, fossil fuel</w:t>
      </w:r>
      <w:r w:rsidRPr="001F1DEA">
        <w:rPr>
          <w:rFonts w:ascii="Arial" w:eastAsia="Arial" w:hAnsi="Arial" w:cs="Arial"/>
        </w:rPr>
        <w:t xml:space="preserve">-based energy production, circular economy as prominent examples in transitions theory; with growing attention to ‘digital </w:t>
      </w:r>
      <w:r w:rsidRPr="001F1DEA">
        <w:rPr>
          <w:rFonts w:ascii="Arial" w:eastAsia="Arial" w:hAnsi="Arial" w:cs="Arial"/>
        </w:rPr>
        <w:lastRenderedPageBreak/>
        <w:t>transition’ phenomena). Exemplar cases from grey literature reflect priorities of job creation, availability of skilled personnel, and job losses literature</w:t>
      </w:r>
      <w:r>
        <w:rPr>
          <w:rFonts w:ascii="Arial" w:eastAsia="Arial" w:hAnsi="Arial" w:cs="Arial"/>
          <w:vertAlign w:val="superscript"/>
        </w:rPr>
        <w:footnoteReference w:id="6"/>
      </w:r>
      <w:r w:rsidRPr="001F1DEA">
        <w:rPr>
          <w:rFonts w:ascii="Arial" w:eastAsia="Arial" w:hAnsi="Arial" w:cs="Arial"/>
        </w:rPr>
        <w:t>, and also relevant are for example the 'skills action plans' for climate urgency</w:t>
      </w:r>
      <w:r>
        <w:rPr>
          <w:rFonts w:ascii="Arial" w:eastAsia="Arial" w:hAnsi="Arial" w:cs="Arial"/>
        </w:rPr>
        <w:t>. Exemplars from s</w:t>
      </w:r>
      <w:r w:rsidRPr="001F1DEA">
        <w:rPr>
          <w:rFonts w:ascii="Arial" w:eastAsia="Arial" w:hAnsi="Arial" w:cs="Arial"/>
        </w:rPr>
        <w:t xml:space="preserve">cientific </w:t>
      </w:r>
      <w:r>
        <w:rPr>
          <w:rFonts w:ascii="Arial" w:eastAsia="Arial" w:hAnsi="Arial" w:cs="Arial"/>
        </w:rPr>
        <w:t xml:space="preserve">literature also display </w:t>
      </w:r>
      <w:r w:rsidRPr="001F1DEA">
        <w:rPr>
          <w:rFonts w:ascii="Arial" w:eastAsia="Arial" w:hAnsi="Arial" w:cs="Arial"/>
        </w:rPr>
        <w:t xml:space="preserve">preoccupations with particular issues (e.g. in transitions research there is a heavy over-representation of energy-related empirical studies). </w:t>
      </w:r>
      <w:r>
        <w:rPr>
          <w:rFonts w:ascii="Arial" w:eastAsia="Arial" w:hAnsi="Arial" w:cs="Arial"/>
        </w:rPr>
        <w:t xml:space="preserve">One can also consider the methodological biases towards established sectors, compared to the only just emerging initiatives and activities. </w:t>
      </w:r>
      <w:r w:rsidRPr="001F1DEA">
        <w:rPr>
          <w:rFonts w:ascii="Arial" w:eastAsia="Arial" w:hAnsi="Arial" w:cs="Arial"/>
        </w:rPr>
        <w:t xml:space="preserve">In order to increase scientific novelty and to help governance on sectors/transition processes often overlooked, </w:t>
      </w:r>
      <w:r w:rsidRPr="001F1DEA">
        <w:rPr>
          <w:rFonts w:ascii="Arial" w:eastAsia="Arial" w:hAnsi="Arial" w:cs="Arial"/>
          <w:color w:val="000000"/>
        </w:rPr>
        <w:t xml:space="preserve">LAMARTRA might want to address </w:t>
      </w:r>
      <w:r w:rsidRPr="001F1DEA">
        <w:rPr>
          <w:rFonts w:ascii="Arial" w:eastAsia="Arial" w:hAnsi="Arial" w:cs="Arial"/>
          <w:i/>
          <w:color w:val="000000"/>
        </w:rPr>
        <w:t>under-exposed</w:t>
      </w:r>
      <w:r w:rsidRPr="001F1DEA">
        <w:rPr>
          <w:rFonts w:ascii="Arial" w:eastAsia="Arial" w:hAnsi="Arial" w:cs="Arial"/>
          <w:color w:val="000000"/>
        </w:rPr>
        <w:t xml:space="preserve"> cases (i.e. under-exposed sectors, or within sectors under-exposed kinds of processes, under-exposed kinds of companies, or under-exposed kind</w:t>
      </w:r>
      <w:r>
        <w:rPr>
          <w:rFonts w:ascii="Arial" w:eastAsia="Arial" w:hAnsi="Arial" w:cs="Arial"/>
          <w:color w:val="000000"/>
        </w:rPr>
        <w:t xml:space="preserve">s of actors). </w:t>
      </w:r>
    </w:p>
    <w:p w14:paraId="555908D2" w14:textId="77777777" w:rsidR="009F00EC" w:rsidRDefault="009F00EC" w:rsidP="009F00EC">
      <w:pPr>
        <w:numPr>
          <w:ilvl w:val="0"/>
          <w:numId w:val="12"/>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Access to data:</w:t>
      </w:r>
      <w:r>
        <w:rPr>
          <w:rFonts w:ascii="Arial" w:eastAsia="Arial" w:hAnsi="Arial" w:cs="Arial"/>
        </w:rPr>
        <w:t xml:space="preserve"> Apart from any theoretical consideration, the pragmatic side of methodology is crucial. The striving to end up with practically relevant knowledge (policy mixes for handling the ‘dual transition’) requires intimate understanding of concrete ‘labour transitioning’. Accessibility of data is </w:t>
      </w:r>
      <w:proofErr w:type="gramStart"/>
      <w:r>
        <w:rPr>
          <w:rFonts w:ascii="Arial" w:eastAsia="Arial" w:hAnsi="Arial" w:cs="Arial"/>
        </w:rPr>
        <w:t>a</w:t>
      </w:r>
      <w:proofErr w:type="gramEnd"/>
      <w:r>
        <w:rPr>
          <w:rFonts w:ascii="Arial" w:eastAsia="Arial" w:hAnsi="Arial" w:cs="Arial"/>
        </w:rPr>
        <w:t xml:space="preserve"> side constraint. Likely limitations are the </w:t>
      </w:r>
      <w:r w:rsidRPr="001F1DEA">
        <w:rPr>
          <w:rFonts w:ascii="Arial" w:eastAsia="Arial" w:hAnsi="Arial" w:cs="Arial"/>
          <w:b/>
        </w:rPr>
        <w:t>secrecy</w:t>
      </w:r>
      <w:r>
        <w:rPr>
          <w:rFonts w:ascii="Arial" w:eastAsia="Arial" w:hAnsi="Arial" w:cs="Arial"/>
        </w:rPr>
        <w:t xml:space="preserve"> around certain transition processes (e.g. nuclear industry), </w:t>
      </w:r>
      <w:r w:rsidRPr="001F1DEA">
        <w:rPr>
          <w:rFonts w:ascii="Arial" w:eastAsia="Arial" w:hAnsi="Arial" w:cs="Arial"/>
          <w:b/>
        </w:rPr>
        <w:t>political sensitivity</w:t>
      </w:r>
      <w:r>
        <w:rPr>
          <w:rFonts w:ascii="Arial" w:eastAsia="Arial" w:hAnsi="Arial" w:cs="Arial"/>
        </w:rPr>
        <w:t xml:space="preserve"> (sectors, companies and governmental agencies involved in tense negotiations, not allowing them to release detailed information), </w:t>
      </w:r>
      <w:r w:rsidRPr="001F1DEA">
        <w:rPr>
          <w:rFonts w:ascii="Arial" w:eastAsia="Arial" w:hAnsi="Arial" w:cs="Arial"/>
          <w:b/>
        </w:rPr>
        <w:t>lack of monitoring/systematic data gathering</w:t>
      </w:r>
      <w:r>
        <w:rPr>
          <w:rFonts w:ascii="Arial" w:eastAsia="Arial" w:hAnsi="Arial" w:cs="Arial"/>
        </w:rPr>
        <w:t xml:space="preserve"> (quantitative data insufficiently available). On the other hand, </w:t>
      </w:r>
      <w:r>
        <w:rPr>
          <w:rFonts w:ascii="Arial" w:eastAsia="Arial" w:hAnsi="Arial" w:cs="Arial"/>
          <w:color w:val="3C4043"/>
          <w:highlight w:val="white"/>
        </w:rPr>
        <w:t>care must be taken not to select 'bland' sectors by elimination, because they would be less associated with complicated or tense negotiations, as an ultimate goal of the project is to attract political attention. Efforts must be done to actively gain access to relevant, salient data, rather than just respond to what appears easily available.</w:t>
      </w:r>
    </w:p>
    <w:p w14:paraId="53B442D2" w14:textId="77777777" w:rsidR="009F00EC" w:rsidRDefault="009F00EC" w:rsidP="009F00EC">
      <w:pPr>
        <w:numPr>
          <w:ilvl w:val="0"/>
          <w:numId w:val="12"/>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Identifying the limitations of current indicators &amp; data sets in-use:</w:t>
      </w:r>
      <w:r>
        <w:rPr>
          <w:rFonts w:ascii="Arial" w:eastAsia="Arial" w:hAnsi="Arial" w:cs="Arial"/>
        </w:rPr>
        <w:t xml:space="preserve"> A key challenge is that certain aspects, sectors, empirical phenomena of the ‘two transitions’ that are elusive. They are difficult to capture through commonly used indicators, difficult to gather data on, difficult to articulate in </w:t>
      </w:r>
      <w:proofErr w:type="gramStart"/>
      <w:r>
        <w:rPr>
          <w:rFonts w:ascii="Arial" w:eastAsia="Arial" w:hAnsi="Arial" w:cs="Arial"/>
        </w:rPr>
        <w:t>a</w:t>
      </w:r>
      <w:proofErr w:type="gramEnd"/>
      <w:r>
        <w:rPr>
          <w:rFonts w:ascii="Arial" w:eastAsia="Arial" w:hAnsi="Arial" w:cs="Arial"/>
        </w:rPr>
        <w:t xml:space="preserve"> scientifically systematic way. Throughout the research it is also useful to identify which ‘two transitions’ aspects prove difficult to capture empirically, and which aspects our case selection/demarcation leaves under-exposed</w:t>
      </w:r>
      <w:r>
        <w:rPr>
          <w:rStyle w:val="FootnoteReference"/>
          <w:rFonts w:ascii="Arial" w:eastAsia="Arial" w:hAnsi="Arial" w:cs="Arial"/>
        </w:rPr>
        <w:footnoteReference w:id="7"/>
      </w:r>
      <w:r>
        <w:rPr>
          <w:rFonts w:ascii="Arial" w:eastAsia="Arial" w:hAnsi="Arial" w:cs="Arial"/>
        </w:rPr>
        <w:t xml:space="preserve">. Our multi-WP, multi-perspective, interdisciplinary project allows for some method triangulation, i.e. the relative blind spots of one analysis can be compensated by the parallel analyses by others. </w:t>
      </w:r>
    </w:p>
    <w:p w14:paraId="457446A9" w14:textId="3202CD3E" w:rsidR="009F00EC" w:rsidRDefault="009F00EC" w:rsidP="009F00EC">
      <w:pPr>
        <w:numPr>
          <w:ilvl w:val="0"/>
          <w:numId w:val="12"/>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Articulation with other ongoing projects:</w:t>
      </w:r>
      <w:r>
        <w:rPr>
          <w:rFonts w:ascii="Arial" w:eastAsia="Arial" w:hAnsi="Arial" w:cs="Arial"/>
        </w:rPr>
        <w:t xml:space="preserve"> Several other studies and research on the labour market implications of the transition towards a climate neutral Belgium are underway. It is useful to take these studies into consideration, to avoid redundancies and over-solicitation of the stakeholders. If choosing matching cases, it will be relevant to develop synergies. With a view to aligning our research with other ongoing</w:t>
      </w:r>
      <w:r w:rsidR="005B1D30">
        <w:rPr>
          <w:rFonts w:ascii="Arial" w:eastAsia="Arial" w:hAnsi="Arial" w:cs="Arial"/>
        </w:rPr>
        <w:t xml:space="preserve"> projects, we have organized (</w:t>
      </w:r>
      <w:r>
        <w:rPr>
          <w:rFonts w:ascii="Arial" w:eastAsia="Arial" w:hAnsi="Arial" w:cs="Arial"/>
        </w:rPr>
        <w:t xml:space="preserve">Friday </w:t>
      </w:r>
      <w:r w:rsidR="005B1D30">
        <w:rPr>
          <w:rFonts w:ascii="Arial" w:eastAsia="Arial" w:hAnsi="Arial" w:cs="Arial"/>
        </w:rPr>
        <w:t xml:space="preserve">June 4th </w:t>
      </w:r>
      <w:r>
        <w:rPr>
          <w:rFonts w:ascii="Arial" w:eastAsia="Arial" w:hAnsi="Arial" w:cs="Arial"/>
        </w:rPr>
        <w:t>2021</w:t>
      </w:r>
      <w:r w:rsidR="005B1D30">
        <w:rPr>
          <w:rFonts w:ascii="Arial" w:eastAsia="Arial" w:hAnsi="Arial" w:cs="Arial"/>
        </w:rPr>
        <w:t>)</w:t>
      </w:r>
      <w:r>
        <w:rPr>
          <w:rFonts w:ascii="Arial" w:eastAsia="Arial" w:hAnsi="Arial" w:cs="Arial"/>
        </w:rPr>
        <w:t xml:space="preserve"> a </w:t>
      </w:r>
      <w:sdt>
        <w:sdtPr>
          <w:tag w:val="goog_rdk_2"/>
          <w:id w:val="-1277565088"/>
        </w:sdtPr>
        <w:sdtEndPr/>
        <w:sdtContent/>
      </w:sdt>
      <w:r>
        <w:rPr>
          <w:rFonts w:ascii="Arial" w:eastAsia="Arial" w:hAnsi="Arial" w:cs="Arial"/>
        </w:rPr>
        <w:t xml:space="preserve">working session with </w:t>
      </w:r>
      <w:r>
        <w:rPr>
          <w:rFonts w:ascii="Arial" w:eastAsia="Arial" w:hAnsi="Arial" w:cs="Arial"/>
        </w:rPr>
        <w:lastRenderedPageBreak/>
        <w:t xml:space="preserve">the persons in charge of those projects. </w:t>
      </w:r>
      <w:r w:rsidRPr="00356387">
        <w:rPr>
          <w:rFonts w:ascii="Arial" w:eastAsia="Arial" w:hAnsi="Arial" w:cs="Arial"/>
          <w:b/>
        </w:rPr>
        <w:t>Table 2.1</w:t>
      </w:r>
      <w:r>
        <w:rPr>
          <w:rFonts w:ascii="Arial" w:eastAsia="Arial" w:hAnsi="Arial" w:cs="Arial"/>
        </w:rPr>
        <w:t xml:space="preserve"> summarizes the main characteristics of each project as well as the case they focus on</w:t>
      </w:r>
      <w:r w:rsidRPr="00356387">
        <w:rPr>
          <w:rFonts w:ascii="Arial" w:eastAsia="Arial" w:hAnsi="Arial" w:cs="Arial"/>
        </w:rPr>
        <w:t>.</w:t>
      </w:r>
      <w:r>
        <w:rPr>
          <w:rFonts w:ascii="Arial" w:eastAsia="Arial" w:hAnsi="Arial" w:cs="Arial"/>
        </w:rPr>
        <w:t xml:space="preserve"> </w:t>
      </w:r>
    </w:p>
    <w:tbl>
      <w:tblPr>
        <w:tblW w:w="9214" w:type="dxa"/>
        <w:tblBorders>
          <w:top w:val="single" w:sz="4" w:space="0" w:color="115868"/>
          <w:left w:val="single" w:sz="4" w:space="0" w:color="115868"/>
          <w:bottom w:val="single" w:sz="4" w:space="0" w:color="115868"/>
          <w:right w:val="single" w:sz="4" w:space="0" w:color="115868"/>
          <w:insideH w:val="single" w:sz="4" w:space="0" w:color="115868"/>
          <w:insideV w:val="single" w:sz="4" w:space="0" w:color="115868"/>
        </w:tblBorders>
        <w:tblLayout w:type="fixed"/>
        <w:tblLook w:val="0400" w:firstRow="0" w:lastRow="0" w:firstColumn="0" w:lastColumn="0" w:noHBand="0" w:noVBand="1"/>
      </w:tblPr>
      <w:tblGrid>
        <w:gridCol w:w="1842"/>
        <w:gridCol w:w="1187"/>
        <w:gridCol w:w="1366"/>
        <w:gridCol w:w="1984"/>
        <w:gridCol w:w="1418"/>
        <w:gridCol w:w="1417"/>
      </w:tblGrid>
      <w:tr w:rsidR="009F00EC" w14:paraId="62004BB9" w14:textId="77777777" w:rsidTr="00A82D4F">
        <w:trPr>
          <w:trHeight w:val="584"/>
        </w:trPr>
        <w:tc>
          <w:tcPr>
            <w:tcW w:w="1842" w:type="dxa"/>
            <w:shd w:val="clear" w:color="auto" w:fill="115868"/>
            <w:tcMar>
              <w:top w:w="72" w:type="dxa"/>
              <w:left w:w="144" w:type="dxa"/>
              <w:bottom w:w="72" w:type="dxa"/>
              <w:right w:w="144" w:type="dxa"/>
            </w:tcMar>
          </w:tcPr>
          <w:p w14:paraId="18C7891B" w14:textId="77777777" w:rsidR="009F00EC" w:rsidRDefault="009F00EC" w:rsidP="00A82D4F">
            <w:pPr>
              <w:pBdr>
                <w:top w:val="nil"/>
                <w:left w:val="nil"/>
                <w:bottom w:val="nil"/>
                <w:right w:val="nil"/>
                <w:between w:val="nil"/>
              </w:pBdr>
              <w:spacing w:before="120" w:after="120"/>
              <w:jc w:val="both"/>
              <w:rPr>
                <w:rFonts w:ascii="Arial" w:eastAsia="Arial" w:hAnsi="Arial" w:cs="Arial"/>
                <w:color w:val="FFFFFF"/>
                <w:sz w:val="16"/>
                <w:szCs w:val="16"/>
              </w:rPr>
            </w:pPr>
            <w:r>
              <w:rPr>
                <w:rFonts w:ascii="Arial" w:eastAsia="Arial" w:hAnsi="Arial" w:cs="Arial"/>
                <w:b/>
                <w:color w:val="FFFFFF"/>
                <w:sz w:val="16"/>
                <w:szCs w:val="16"/>
              </w:rPr>
              <w:t>Projects</w:t>
            </w:r>
          </w:p>
        </w:tc>
        <w:tc>
          <w:tcPr>
            <w:tcW w:w="1187" w:type="dxa"/>
            <w:shd w:val="clear" w:color="auto" w:fill="115868"/>
            <w:tcMar>
              <w:top w:w="72" w:type="dxa"/>
              <w:left w:w="144" w:type="dxa"/>
              <w:bottom w:w="72" w:type="dxa"/>
              <w:right w:w="144" w:type="dxa"/>
            </w:tcMar>
          </w:tcPr>
          <w:p w14:paraId="39E37DC4" w14:textId="77777777" w:rsidR="009F00EC" w:rsidRDefault="009F00EC" w:rsidP="00A82D4F">
            <w:pPr>
              <w:pBdr>
                <w:top w:val="nil"/>
                <w:left w:val="nil"/>
                <w:bottom w:val="nil"/>
                <w:right w:val="nil"/>
                <w:between w:val="nil"/>
              </w:pBdr>
              <w:spacing w:before="120" w:after="120"/>
              <w:jc w:val="both"/>
              <w:rPr>
                <w:rFonts w:ascii="Arial" w:eastAsia="Arial" w:hAnsi="Arial" w:cs="Arial"/>
                <w:color w:val="FFFFFF"/>
                <w:sz w:val="16"/>
                <w:szCs w:val="16"/>
              </w:rPr>
            </w:pPr>
            <w:r>
              <w:rPr>
                <w:rFonts w:ascii="Arial" w:eastAsia="Arial" w:hAnsi="Arial" w:cs="Arial"/>
                <w:b/>
                <w:color w:val="FFFFFF"/>
                <w:sz w:val="16"/>
                <w:szCs w:val="16"/>
              </w:rPr>
              <w:t>Funding / Sponsor</w:t>
            </w:r>
          </w:p>
        </w:tc>
        <w:tc>
          <w:tcPr>
            <w:tcW w:w="1366" w:type="dxa"/>
            <w:shd w:val="clear" w:color="auto" w:fill="115868"/>
            <w:tcMar>
              <w:top w:w="72" w:type="dxa"/>
              <w:left w:w="144" w:type="dxa"/>
              <w:bottom w:w="72" w:type="dxa"/>
              <w:right w:w="144" w:type="dxa"/>
            </w:tcMar>
          </w:tcPr>
          <w:p w14:paraId="675CA171" w14:textId="77777777" w:rsidR="009F00EC" w:rsidRDefault="009F00EC" w:rsidP="00A82D4F">
            <w:pPr>
              <w:pBdr>
                <w:top w:val="nil"/>
                <w:left w:val="nil"/>
                <w:bottom w:val="nil"/>
                <w:right w:val="nil"/>
                <w:between w:val="nil"/>
              </w:pBdr>
              <w:spacing w:before="120" w:after="120"/>
              <w:jc w:val="both"/>
              <w:rPr>
                <w:rFonts w:ascii="Arial" w:eastAsia="Arial" w:hAnsi="Arial" w:cs="Arial"/>
                <w:color w:val="FFFFFF"/>
                <w:sz w:val="16"/>
                <w:szCs w:val="16"/>
              </w:rPr>
            </w:pPr>
            <w:r>
              <w:rPr>
                <w:rFonts w:ascii="Arial" w:eastAsia="Arial" w:hAnsi="Arial" w:cs="Arial"/>
                <w:b/>
                <w:color w:val="FFFFFF"/>
                <w:sz w:val="16"/>
                <w:szCs w:val="16"/>
              </w:rPr>
              <w:t>Date</w:t>
            </w:r>
          </w:p>
        </w:tc>
        <w:tc>
          <w:tcPr>
            <w:tcW w:w="1984" w:type="dxa"/>
            <w:shd w:val="clear" w:color="auto" w:fill="115868"/>
            <w:tcMar>
              <w:top w:w="72" w:type="dxa"/>
              <w:left w:w="144" w:type="dxa"/>
              <w:bottom w:w="72" w:type="dxa"/>
              <w:right w:w="144" w:type="dxa"/>
            </w:tcMar>
          </w:tcPr>
          <w:p w14:paraId="67AA52B3" w14:textId="77777777" w:rsidR="009F00EC" w:rsidRDefault="009F00EC" w:rsidP="00A82D4F">
            <w:pPr>
              <w:pBdr>
                <w:top w:val="nil"/>
                <w:left w:val="nil"/>
                <w:bottom w:val="nil"/>
                <w:right w:val="nil"/>
                <w:between w:val="nil"/>
              </w:pBdr>
              <w:spacing w:before="120" w:after="120"/>
              <w:jc w:val="both"/>
              <w:rPr>
                <w:rFonts w:ascii="Arial" w:eastAsia="Arial" w:hAnsi="Arial" w:cs="Arial"/>
                <w:color w:val="FFFFFF"/>
                <w:sz w:val="16"/>
                <w:szCs w:val="16"/>
              </w:rPr>
            </w:pPr>
            <w:r>
              <w:rPr>
                <w:rFonts w:ascii="Arial" w:eastAsia="Arial" w:hAnsi="Arial" w:cs="Arial"/>
                <w:b/>
                <w:color w:val="FFFFFF"/>
                <w:sz w:val="16"/>
                <w:szCs w:val="16"/>
              </w:rPr>
              <w:t xml:space="preserve">Case Studies </w:t>
            </w:r>
          </w:p>
        </w:tc>
        <w:tc>
          <w:tcPr>
            <w:tcW w:w="1418" w:type="dxa"/>
            <w:shd w:val="clear" w:color="auto" w:fill="115868"/>
            <w:tcMar>
              <w:top w:w="72" w:type="dxa"/>
              <w:left w:w="144" w:type="dxa"/>
              <w:bottom w:w="72" w:type="dxa"/>
              <w:right w:w="144" w:type="dxa"/>
            </w:tcMar>
          </w:tcPr>
          <w:p w14:paraId="0C339764" w14:textId="77777777" w:rsidR="009F00EC" w:rsidRDefault="009F00EC" w:rsidP="00A82D4F">
            <w:pPr>
              <w:pBdr>
                <w:top w:val="nil"/>
                <w:left w:val="nil"/>
                <w:bottom w:val="nil"/>
                <w:right w:val="nil"/>
                <w:between w:val="nil"/>
              </w:pBdr>
              <w:spacing w:before="120" w:after="120"/>
              <w:jc w:val="both"/>
              <w:rPr>
                <w:rFonts w:ascii="Arial" w:eastAsia="Arial" w:hAnsi="Arial" w:cs="Arial"/>
                <w:color w:val="FFFFFF"/>
                <w:sz w:val="16"/>
                <w:szCs w:val="16"/>
              </w:rPr>
            </w:pPr>
            <w:r>
              <w:rPr>
                <w:rFonts w:ascii="Arial" w:eastAsia="Arial" w:hAnsi="Arial" w:cs="Arial"/>
                <w:b/>
                <w:color w:val="FFFFFF"/>
                <w:sz w:val="16"/>
                <w:szCs w:val="16"/>
              </w:rPr>
              <w:t>Level of Analysis</w:t>
            </w:r>
          </w:p>
        </w:tc>
        <w:tc>
          <w:tcPr>
            <w:tcW w:w="1417" w:type="dxa"/>
            <w:shd w:val="clear" w:color="auto" w:fill="115868"/>
            <w:tcMar>
              <w:top w:w="72" w:type="dxa"/>
              <w:left w:w="144" w:type="dxa"/>
              <w:bottom w:w="72" w:type="dxa"/>
              <w:right w:w="144" w:type="dxa"/>
            </w:tcMar>
          </w:tcPr>
          <w:p w14:paraId="32437C32" w14:textId="77777777" w:rsidR="009F00EC" w:rsidRDefault="009F00EC" w:rsidP="00A82D4F">
            <w:pPr>
              <w:pBdr>
                <w:top w:val="nil"/>
                <w:left w:val="nil"/>
                <w:bottom w:val="nil"/>
                <w:right w:val="nil"/>
                <w:between w:val="nil"/>
              </w:pBdr>
              <w:spacing w:before="120" w:after="120"/>
              <w:jc w:val="both"/>
              <w:rPr>
                <w:rFonts w:ascii="Arial" w:eastAsia="Arial" w:hAnsi="Arial" w:cs="Arial"/>
                <w:color w:val="FFFFFF"/>
                <w:sz w:val="16"/>
                <w:szCs w:val="16"/>
              </w:rPr>
            </w:pPr>
            <w:r>
              <w:rPr>
                <w:rFonts w:ascii="Arial" w:eastAsia="Arial" w:hAnsi="Arial" w:cs="Arial"/>
                <w:b/>
                <w:color w:val="FFFFFF"/>
                <w:sz w:val="16"/>
                <w:szCs w:val="16"/>
              </w:rPr>
              <w:t>Geographical Scope</w:t>
            </w:r>
          </w:p>
        </w:tc>
      </w:tr>
      <w:tr w:rsidR="009F00EC" w14:paraId="5C2B016D" w14:textId="77777777" w:rsidTr="00A82D4F">
        <w:trPr>
          <w:trHeight w:val="584"/>
        </w:trPr>
        <w:tc>
          <w:tcPr>
            <w:tcW w:w="1842" w:type="dxa"/>
            <w:shd w:val="clear" w:color="auto" w:fill="auto"/>
            <w:tcMar>
              <w:top w:w="72" w:type="dxa"/>
              <w:left w:w="144" w:type="dxa"/>
              <w:bottom w:w="72" w:type="dxa"/>
              <w:right w:w="144" w:type="dxa"/>
            </w:tcMar>
          </w:tcPr>
          <w:p w14:paraId="4065F5F0"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b/>
                <w:sz w:val="16"/>
                <w:szCs w:val="16"/>
              </w:rPr>
              <w:t>Study on Jobs-Skills and Transition to Climate Neutrality in Belgium</w:t>
            </w:r>
          </w:p>
        </w:tc>
        <w:tc>
          <w:tcPr>
            <w:tcW w:w="1187" w:type="dxa"/>
            <w:shd w:val="clear" w:color="auto" w:fill="auto"/>
            <w:tcMar>
              <w:top w:w="72" w:type="dxa"/>
              <w:left w:w="144" w:type="dxa"/>
              <w:bottom w:w="72" w:type="dxa"/>
              <w:right w:w="144" w:type="dxa"/>
            </w:tcMar>
          </w:tcPr>
          <w:p w14:paraId="2298CA16"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FPS Environment</w:t>
            </w:r>
          </w:p>
        </w:tc>
        <w:tc>
          <w:tcPr>
            <w:tcW w:w="1366" w:type="dxa"/>
            <w:shd w:val="clear" w:color="auto" w:fill="auto"/>
            <w:tcMar>
              <w:top w:w="72" w:type="dxa"/>
              <w:left w:w="144" w:type="dxa"/>
              <w:bottom w:w="72" w:type="dxa"/>
              <w:right w:w="144" w:type="dxa"/>
            </w:tcMar>
          </w:tcPr>
          <w:p w14:paraId="5A8D75EC"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 xml:space="preserve">May 2021 - April 2022 </w:t>
            </w:r>
          </w:p>
        </w:tc>
        <w:tc>
          <w:tcPr>
            <w:tcW w:w="1984" w:type="dxa"/>
            <w:shd w:val="clear" w:color="auto" w:fill="auto"/>
            <w:tcMar>
              <w:top w:w="72" w:type="dxa"/>
              <w:left w:w="144" w:type="dxa"/>
              <w:bottom w:w="72" w:type="dxa"/>
              <w:right w:w="144" w:type="dxa"/>
            </w:tcMar>
          </w:tcPr>
          <w:p w14:paraId="7FF1C6F5" w14:textId="77777777" w:rsidR="009F00EC" w:rsidRDefault="009F00EC" w:rsidP="00A82D4F">
            <w:pPr>
              <w:numPr>
                <w:ilvl w:val="0"/>
                <w:numId w:val="6"/>
              </w:numPr>
              <w:pBdr>
                <w:top w:val="nil"/>
                <w:left w:val="nil"/>
                <w:bottom w:val="nil"/>
                <w:right w:val="nil"/>
                <w:between w:val="nil"/>
              </w:pBdr>
              <w:ind w:left="145" w:hanging="145"/>
              <w:jc w:val="both"/>
              <w:rPr>
                <w:rFonts w:ascii="Arial" w:eastAsia="Arial" w:hAnsi="Arial" w:cs="Arial"/>
                <w:sz w:val="16"/>
                <w:szCs w:val="16"/>
              </w:rPr>
            </w:pPr>
            <w:r>
              <w:rPr>
                <w:rFonts w:ascii="Arial" w:eastAsia="Arial" w:hAnsi="Arial" w:cs="Arial"/>
                <w:sz w:val="16"/>
                <w:szCs w:val="16"/>
              </w:rPr>
              <w:t>Circular economy in Flanders</w:t>
            </w:r>
          </w:p>
          <w:p w14:paraId="796A983E" w14:textId="77777777" w:rsidR="009F00EC" w:rsidRDefault="009F00EC" w:rsidP="00A82D4F">
            <w:pPr>
              <w:numPr>
                <w:ilvl w:val="0"/>
                <w:numId w:val="6"/>
              </w:numPr>
              <w:pBdr>
                <w:top w:val="nil"/>
                <w:left w:val="nil"/>
                <w:bottom w:val="nil"/>
                <w:right w:val="nil"/>
                <w:between w:val="nil"/>
              </w:pBdr>
              <w:ind w:left="145" w:hanging="145"/>
              <w:jc w:val="both"/>
              <w:rPr>
                <w:rFonts w:ascii="Arial" w:eastAsia="Arial" w:hAnsi="Arial" w:cs="Arial"/>
                <w:sz w:val="16"/>
                <w:szCs w:val="16"/>
              </w:rPr>
            </w:pPr>
            <w:r>
              <w:rPr>
                <w:rFonts w:ascii="Arial" w:eastAsia="Arial" w:hAnsi="Arial" w:cs="Arial"/>
                <w:sz w:val="16"/>
                <w:szCs w:val="16"/>
              </w:rPr>
              <w:t>Digitization in Wallonia</w:t>
            </w:r>
          </w:p>
          <w:p w14:paraId="095F6A74" w14:textId="77777777" w:rsidR="009F00EC" w:rsidRDefault="009F00EC" w:rsidP="00A82D4F">
            <w:pPr>
              <w:numPr>
                <w:ilvl w:val="0"/>
                <w:numId w:val="6"/>
              </w:numPr>
              <w:pBdr>
                <w:top w:val="nil"/>
                <w:left w:val="nil"/>
                <w:bottom w:val="nil"/>
                <w:right w:val="nil"/>
                <w:between w:val="nil"/>
              </w:pBdr>
              <w:ind w:left="145" w:hanging="145"/>
              <w:jc w:val="both"/>
              <w:rPr>
                <w:rFonts w:ascii="Arial" w:eastAsia="Arial" w:hAnsi="Arial" w:cs="Arial"/>
                <w:sz w:val="16"/>
                <w:szCs w:val="16"/>
              </w:rPr>
            </w:pPr>
            <w:r>
              <w:rPr>
                <w:rFonts w:ascii="Arial" w:eastAsia="Arial" w:hAnsi="Arial" w:cs="Arial"/>
                <w:sz w:val="16"/>
                <w:szCs w:val="16"/>
              </w:rPr>
              <w:t>Renovation of buildings in RBC</w:t>
            </w:r>
          </w:p>
        </w:tc>
        <w:tc>
          <w:tcPr>
            <w:tcW w:w="1418" w:type="dxa"/>
            <w:shd w:val="clear" w:color="auto" w:fill="auto"/>
            <w:tcMar>
              <w:top w:w="72" w:type="dxa"/>
              <w:left w:w="144" w:type="dxa"/>
              <w:bottom w:w="72" w:type="dxa"/>
              <w:right w:w="144" w:type="dxa"/>
            </w:tcMar>
          </w:tcPr>
          <w:p w14:paraId="2C839538"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TBD</w:t>
            </w:r>
          </w:p>
        </w:tc>
        <w:tc>
          <w:tcPr>
            <w:tcW w:w="1417" w:type="dxa"/>
            <w:shd w:val="clear" w:color="auto" w:fill="auto"/>
            <w:tcMar>
              <w:top w:w="72" w:type="dxa"/>
              <w:left w:w="144" w:type="dxa"/>
              <w:bottom w:w="72" w:type="dxa"/>
              <w:right w:w="144" w:type="dxa"/>
            </w:tcMar>
          </w:tcPr>
          <w:p w14:paraId="4F005E35"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Belgium</w:t>
            </w:r>
          </w:p>
        </w:tc>
      </w:tr>
      <w:tr w:rsidR="009F00EC" w14:paraId="61529759" w14:textId="77777777" w:rsidTr="00A82D4F">
        <w:trPr>
          <w:trHeight w:val="584"/>
        </w:trPr>
        <w:tc>
          <w:tcPr>
            <w:tcW w:w="1842" w:type="dxa"/>
            <w:shd w:val="clear" w:color="auto" w:fill="auto"/>
            <w:tcMar>
              <w:top w:w="72" w:type="dxa"/>
              <w:left w:w="144" w:type="dxa"/>
              <w:bottom w:w="72" w:type="dxa"/>
              <w:right w:w="144" w:type="dxa"/>
            </w:tcMar>
          </w:tcPr>
          <w:p w14:paraId="78E29B32"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b/>
                <w:sz w:val="16"/>
                <w:szCs w:val="16"/>
              </w:rPr>
              <w:t>Sustainable Employment in the Age of Digitalisation (SEAD)</w:t>
            </w:r>
          </w:p>
        </w:tc>
        <w:tc>
          <w:tcPr>
            <w:tcW w:w="1187" w:type="dxa"/>
            <w:shd w:val="clear" w:color="auto" w:fill="auto"/>
            <w:tcMar>
              <w:top w:w="72" w:type="dxa"/>
              <w:left w:w="144" w:type="dxa"/>
              <w:bottom w:w="72" w:type="dxa"/>
              <w:right w:w="144" w:type="dxa"/>
            </w:tcMar>
          </w:tcPr>
          <w:p w14:paraId="2868BCE2"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Belspo</w:t>
            </w:r>
          </w:p>
        </w:tc>
        <w:tc>
          <w:tcPr>
            <w:tcW w:w="1366" w:type="dxa"/>
            <w:shd w:val="clear" w:color="auto" w:fill="auto"/>
            <w:tcMar>
              <w:top w:w="72" w:type="dxa"/>
              <w:left w:w="144" w:type="dxa"/>
              <w:bottom w:w="72" w:type="dxa"/>
              <w:right w:w="144" w:type="dxa"/>
            </w:tcMar>
          </w:tcPr>
          <w:p w14:paraId="5522FD59"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 xml:space="preserve">April 2020 - March 2024 </w:t>
            </w:r>
          </w:p>
        </w:tc>
        <w:tc>
          <w:tcPr>
            <w:tcW w:w="1984" w:type="dxa"/>
            <w:shd w:val="clear" w:color="auto" w:fill="auto"/>
            <w:tcMar>
              <w:top w:w="72" w:type="dxa"/>
              <w:left w:w="144" w:type="dxa"/>
              <w:bottom w:w="72" w:type="dxa"/>
              <w:right w:w="144" w:type="dxa"/>
            </w:tcMar>
          </w:tcPr>
          <w:p w14:paraId="3A5E119B" w14:textId="77777777" w:rsidR="009F00EC" w:rsidRDefault="009F00EC" w:rsidP="00A82D4F">
            <w:pPr>
              <w:numPr>
                <w:ilvl w:val="0"/>
                <w:numId w:val="9"/>
              </w:numPr>
              <w:pBdr>
                <w:top w:val="nil"/>
                <w:left w:val="nil"/>
                <w:bottom w:val="nil"/>
                <w:right w:val="nil"/>
                <w:between w:val="nil"/>
              </w:pBdr>
              <w:ind w:left="145" w:hanging="145"/>
              <w:jc w:val="both"/>
              <w:rPr>
                <w:rFonts w:ascii="Arial" w:eastAsia="Arial" w:hAnsi="Arial" w:cs="Arial"/>
                <w:sz w:val="16"/>
                <w:szCs w:val="16"/>
              </w:rPr>
            </w:pPr>
            <w:r>
              <w:rPr>
                <w:rFonts w:ascii="Arial" w:eastAsia="Arial" w:hAnsi="Arial" w:cs="Arial"/>
                <w:sz w:val="16"/>
                <w:szCs w:val="16"/>
              </w:rPr>
              <w:t xml:space="preserve">20 ‘traditional’ organisations </w:t>
            </w:r>
          </w:p>
          <w:p w14:paraId="45D62BB8" w14:textId="77777777" w:rsidR="009F00EC" w:rsidRDefault="009F00EC" w:rsidP="00A82D4F">
            <w:pPr>
              <w:numPr>
                <w:ilvl w:val="0"/>
                <w:numId w:val="9"/>
              </w:numPr>
              <w:pBdr>
                <w:top w:val="nil"/>
                <w:left w:val="nil"/>
                <w:bottom w:val="nil"/>
                <w:right w:val="nil"/>
                <w:between w:val="nil"/>
              </w:pBdr>
              <w:ind w:left="145" w:hanging="145"/>
              <w:jc w:val="both"/>
              <w:rPr>
                <w:rFonts w:ascii="Arial" w:eastAsia="Arial" w:hAnsi="Arial" w:cs="Arial"/>
                <w:sz w:val="16"/>
                <w:szCs w:val="16"/>
              </w:rPr>
            </w:pPr>
            <w:r>
              <w:rPr>
                <w:rFonts w:ascii="Arial" w:eastAsia="Arial" w:hAnsi="Arial" w:cs="Arial"/>
                <w:sz w:val="16"/>
                <w:szCs w:val="16"/>
              </w:rPr>
              <w:t xml:space="preserve">5 organisations from the platform economy </w:t>
            </w:r>
          </w:p>
        </w:tc>
        <w:tc>
          <w:tcPr>
            <w:tcW w:w="1418" w:type="dxa"/>
            <w:shd w:val="clear" w:color="auto" w:fill="auto"/>
            <w:tcMar>
              <w:top w:w="72" w:type="dxa"/>
              <w:left w:w="144" w:type="dxa"/>
              <w:bottom w:w="72" w:type="dxa"/>
              <w:right w:w="144" w:type="dxa"/>
            </w:tcMar>
          </w:tcPr>
          <w:p w14:paraId="44580577"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Organisation</w:t>
            </w:r>
          </w:p>
        </w:tc>
        <w:tc>
          <w:tcPr>
            <w:tcW w:w="1417" w:type="dxa"/>
            <w:shd w:val="clear" w:color="auto" w:fill="auto"/>
            <w:tcMar>
              <w:top w:w="72" w:type="dxa"/>
              <w:left w:w="144" w:type="dxa"/>
              <w:bottom w:w="72" w:type="dxa"/>
              <w:right w:w="144" w:type="dxa"/>
            </w:tcMar>
          </w:tcPr>
          <w:p w14:paraId="7FD674FA"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Belgium</w:t>
            </w:r>
          </w:p>
        </w:tc>
      </w:tr>
      <w:tr w:rsidR="009F00EC" w14:paraId="64B725F9" w14:textId="77777777" w:rsidTr="00A82D4F">
        <w:trPr>
          <w:trHeight w:val="584"/>
        </w:trPr>
        <w:tc>
          <w:tcPr>
            <w:tcW w:w="1842" w:type="dxa"/>
            <w:shd w:val="clear" w:color="auto" w:fill="auto"/>
            <w:tcMar>
              <w:top w:w="72" w:type="dxa"/>
              <w:left w:w="144" w:type="dxa"/>
              <w:bottom w:w="72" w:type="dxa"/>
              <w:right w:w="144" w:type="dxa"/>
            </w:tcMar>
          </w:tcPr>
          <w:p w14:paraId="38852D57"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b/>
                <w:sz w:val="16"/>
                <w:szCs w:val="16"/>
              </w:rPr>
              <w:t>Modelling the Impact of a Circular Holistic Economy on the Labour market and Lifelong lEarning (MICHELLE)</w:t>
            </w:r>
          </w:p>
        </w:tc>
        <w:tc>
          <w:tcPr>
            <w:tcW w:w="1187" w:type="dxa"/>
            <w:shd w:val="clear" w:color="auto" w:fill="auto"/>
            <w:tcMar>
              <w:top w:w="72" w:type="dxa"/>
              <w:left w:w="144" w:type="dxa"/>
              <w:bottom w:w="72" w:type="dxa"/>
              <w:right w:w="144" w:type="dxa"/>
            </w:tcMar>
          </w:tcPr>
          <w:p w14:paraId="68292DAE"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FWO</w:t>
            </w:r>
          </w:p>
        </w:tc>
        <w:tc>
          <w:tcPr>
            <w:tcW w:w="1366" w:type="dxa"/>
            <w:shd w:val="clear" w:color="auto" w:fill="auto"/>
            <w:tcMar>
              <w:top w:w="72" w:type="dxa"/>
              <w:left w:w="144" w:type="dxa"/>
              <w:bottom w:w="72" w:type="dxa"/>
              <w:right w:w="144" w:type="dxa"/>
            </w:tcMar>
          </w:tcPr>
          <w:p w14:paraId="0ECA6C91"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 xml:space="preserve">October 2020 - September 2024 </w:t>
            </w:r>
          </w:p>
        </w:tc>
        <w:tc>
          <w:tcPr>
            <w:tcW w:w="1984" w:type="dxa"/>
            <w:shd w:val="clear" w:color="auto" w:fill="auto"/>
            <w:tcMar>
              <w:top w:w="72" w:type="dxa"/>
              <w:left w:w="144" w:type="dxa"/>
              <w:bottom w:w="72" w:type="dxa"/>
              <w:right w:w="144" w:type="dxa"/>
            </w:tcMar>
          </w:tcPr>
          <w:p w14:paraId="06B3AFED" w14:textId="77777777" w:rsidR="009F00EC" w:rsidRDefault="009F00EC" w:rsidP="00A82D4F">
            <w:pPr>
              <w:numPr>
                <w:ilvl w:val="0"/>
                <w:numId w:val="10"/>
              </w:numPr>
              <w:pBdr>
                <w:top w:val="nil"/>
                <w:left w:val="nil"/>
                <w:bottom w:val="nil"/>
                <w:right w:val="nil"/>
                <w:between w:val="nil"/>
              </w:pBdr>
              <w:ind w:left="145" w:hanging="145"/>
              <w:jc w:val="both"/>
              <w:rPr>
                <w:rFonts w:ascii="Arial" w:eastAsia="Arial" w:hAnsi="Arial" w:cs="Arial"/>
                <w:sz w:val="16"/>
                <w:szCs w:val="16"/>
              </w:rPr>
            </w:pPr>
            <w:r>
              <w:rPr>
                <w:rFonts w:ascii="Arial" w:eastAsia="Arial" w:hAnsi="Arial" w:cs="Arial"/>
                <w:sz w:val="16"/>
                <w:szCs w:val="16"/>
              </w:rPr>
              <w:t>Construction</w:t>
            </w:r>
          </w:p>
        </w:tc>
        <w:tc>
          <w:tcPr>
            <w:tcW w:w="1418" w:type="dxa"/>
            <w:shd w:val="clear" w:color="auto" w:fill="auto"/>
            <w:tcMar>
              <w:top w:w="72" w:type="dxa"/>
              <w:left w:w="144" w:type="dxa"/>
              <w:bottom w:w="72" w:type="dxa"/>
              <w:right w:w="144" w:type="dxa"/>
            </w:tcMar>
          </w:tcPr>
          <w:p w14:paraId="3670C1E2"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 xml:space="preserve">Sector </w:t>
            </w:r>
          </w:p>
        </w:tc>
        <w:tc>
          <w:tcPr>
            <w:tcW w:w="1417" w:type="dxa"/>
            <w:shd w:val="clear" w:color="auto" w:fill="auto"/>
            <w:tcMar>
              <w:top w:w="72" w:type="dxa"/>
              <w:left w:w="144" w:type="dxa"/>
              <w:bottom w:w="72" w:type="dxa"/>
              <w:right w:w="144" w:type="dxa"/>
            </w:tcMar>
          </w:tcPr>
          <w:p w14:paraId="1ECACA14"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Flanders</w:t>
            </w:r>
          </w:p>
        </w:tc>
      </w:tr>
      <w:tr w:rsidR="009F00EC" w14:paraId="763E64AE" w14:textId="77777777" w:rsidTr="00A82D4F">
        <w:trPr>
          <w:trHeight w:val="584"/>
        </w:trPr>
        <w:tc>
          <w:tcPr>
            <w:tcW w:w="1842" w:type="dxa"/>
            <w:shd w:val="clear" w:color="auto" w:fill="auto"/>
            <w:tcMar>
              <w:top w:w="72" w:type="dxa"/>
              <w:left w:w="144" w:type="dxa"/>
              <w:bottom w:w="72" w:type="dxa"/>
              <w:right w:w="144" w:type="dxa"/>
            </w:tcMar>
          </w:tcPr>
          <w:p w14:paraId="6138B0F3"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b/>
                <w:sz w:val="16"/>
                <w:szCs w:val="16"/>
              </w:rPr>
              <w:t>Anticipation of Skills Needs/Occupations in Wallonia</w:t>
            </w:r>
            <w:r>
              <w:rPr>
                <w:rFonts w:ascii="Arial" w:eastAsia="Arial" w:hAnsi="Arial" w:cs="Arial"/>
                <w:sz w:val="16"/>
                <w:szCs w:val="16"/>
              </w:rPr>
              <w:t xml:space="preserve"> </w:t>
            </w:r>
          </w:p>
        </w:tc>
        <w:tc>
          <w:tcPr>
            <w:tcW w:w="1187" w:type="dxa"/>
            <w:shd w:val="clear" w:color="auto" w:fill="auto"/>
            <w:tcMar>
              <w:top w:w="72" w:type="dxa"/>
              <w:left w:w="144" w:type="dxa"/>
              <w:bottom w:w="72" w:type="dxa"/>
              <w:right w:w="144" w:type="dxa"/>
            </w:tcMar>
          </w:tcPr>
          <w:p w14:paraId="56E93EE8"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IFAPME (WCA)</w:t>
            </w:r>
          </w:p>
        </w:tc>
        <w:tc>
          <w:tcPr>
            <w:tcW w:w="1366" w:type="dxa"/>
            <w:shd w:val="clear" w:color="auto" w:fill="auto"/>
            <w:tcMar>
              <w:top w:w="72" w:type="dxa"/>
              <w:left w:w="144" w:type="dxa"/>
              <w:bottom w:w="72" w:type="dxa"/>
              <w:right w:w="144" w:type="dxa"/>
            </w:tcMar>
          </w:tcPr>
          <w:p w14:paraId="4D1F21F2"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 xml:space="preserve">From 2021 </w:t>
            </w:r>
          </w:p>
        </w:tc>
        <w:tc>
          <w:tcPr>
            <w:tcW w:w="1984" w:type="dxa"/>
            <w:shd w:val="clear" w:color="auto" w:fill="auto"/>
            <w:tcMar>
              <w:top w:w="72" w:type="dxa"/>
              <w:left w:w="144" w:type="dxa"/>
              <w:bottom w:w="72" w:type="dxa"/>
              <w:right w:w="144" w:type="dxa"/>
            </w:tcMar>
          </w:tcPr>
          <w:p w14:paraId="3E662EAF" w14:textId="77777777" w:rsidR="009F00EC" w:rsidRDefault="009F00EC" w:rsidP="00A82D4F">
            <w:pPr>
              <w:numPr>
                <w:ilvl w:val="0"/>
                <w:numId w:val="11"/>
              </w:numPr>
              <w:pBdr>
                <w:top w:val="nil"/>
                <w:left w:val="nil"/>
                <w:bottom w:val="nil"/>
                <w:right w:val="nil"/>
                <w:between w:val="nil"/>
              </w:pBdr>
              <w:ind w:left="145" w:hanging="145"/>
              <w:jc w:val="both"/>
              <w:rPr>
                <w:rFonts w:ascii="Arial" w:eastAsia="Arial" w:hAnsi="Arial" w:cs="Arial"/>
                <w:sz w:val="16"/>
                <w:szCs w:val="16"/>
              </w:rPr>
            </w:pPr>
            <w:r>
              <w:rPr>
                <w:rFonts w:ascii="Arial" w:eastAsia="Arial" w:hAnsi="Arial" w:cs="Arial"/>
                <w:sz w:val="16"/>
                <w:szCs w:val="16"/>
              </w:rPr>
              <w:t>Construction (2021)</w:t>
            </w:r>
          </w:p>
          <w:p w14:paraId="7119CD62" w14:textId="77777777" w:rsidR="009F00EC" w:rsidRDefault="009F00EC" w:rsidP="00A82D4F">
            <w:pPr>
              <w:numPr>
                <w:ilvl w:val="0"/>
                <w:numId w:val="11"/>
              </w:numPr>
              <w:pBdr>
                <w:top w:val="nil"/>
                <w:left w:val="nil"/>
                <w:bottom w:val="nil"/>
                <w:right w:val="nil"/>
                <w:between w:val="nil"/>
              </w:pBdr>
              <w:ind w:left="145" w:hanging="145"/>
              <w:jc w:val="both"/>
              <w:rPr>
                <w:rFonts w:ascii="Arial" w:eastAsia="Arial" w:hAnsi="Arial" w:cs="Arial"/>
                <w:sz w:val="16"/>
                <w:szCs w:val="16"/>
              </w:rPr>
            </w:pPr>
            <w:r>
              <w:rPr>
                <w:rFonts w:ascii="Arial" w:eastAsia="Arial" w:hAnsi="Arial" w:cs="Arial"/>
                <w:sz w:val="16"/>
                <w:szCs w:val="16"/>
              </w:rPr>
              <w:t>Food (2021-2022)</w:t>
            </w:r>
          </w:p>
          <w:p w14:paraId="05E91254" w14:textId="77777777" w:rsidR="009F00EC" w:rsidRDefault="009F00EC" w:rsidP="00A82D4F">
            <w:pPr>
              <w:numPr>
                <w:ilvl w:val="0"/>
                <w:numId w:val="11"/>
              </w:numPr>
              <w:pBdr>
                <w:top w:val="nil"/>
                <w:left w:val="nil"/>
                <w:bottom w:val="nil"/>
                <w:right w:val="nil"/>
                <w:between w:val="nil"/>
              </w:pBdr>
              <w:ind w:left="145" w:hanging="145"/>
              <w:jc w:val="both"/>
              <w:rPr>
                <w:rFonts w:ascii="Arial" w:eastAsia="Arial" w:hAnsi="Arial" w:cs="Arial"/>
                <w:sz w:val="16"/>
                <w:szCs w:val="16"/>
              </w:rPr>
            </w:pPr>
            <w:r>
              <w:rPr>
                <w:rFonts w:ascii="Arial" w:eastAsia="Arial" w:hAnsi="Arial" w:cs="Arial"/>
                <w:sz w:val="16"/>
                <w:szCs w:val="16"/>
              </w:rPr>
              <w:t>Metallurgy, Plastics, biotechs… (from 2022)</w:t>
            </w:r>
          </w:p>
        </w:tc>
        <w:tc>
          <w:tcPr>
            <w:tcW w:w="1418" w:type="dxa"/>
            <w:shd w:val="clear" w:color="auto" w:fill="auto"/>
            <w:tcMar>
              <w:top w:w="72" w:type="dxa"/>
              <w:left w:w="144" w:type="dxa"/>
              <w:bottom w:w="72" w:type="dxa"/>
              <w:right w:w="144" w:type="dxa"/>
            </w:tcMar>
          </w:tcPr>
          <w:p w14:paraId="5970DF61"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 xml:space="preserve">Value Chain </w:t>
            </w:r>
          </w:p>
        </w:tc>
        <w:tc>
          <w:tcPr>
            <w:tcW w:w="1417" w:type="dxa"/>
            <w:shd w:val="clear" w:color="auto" w:fill="auto"/>
            <w:tcMar>
              <w:top w:w="72" w:type="dxa"/>
              <w:left w:w="144" w:type="dxa"/>
              <w:bottom w:w="72" w:type="dxa"/>
              <w:right w:w="144" w:type="dxa"/>
            </w:tcMar>
          </w:tcPr>
          <w:p w14:paraId="5A367549"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Wallonia</w:t>
            </w:r>
          </w:p>
        </w:tc>
      </w:tr>
      <w:tr w:rsidR="009F00EC" w14:paraId="4B000FF6" w14:textId="77777777" w:rsidTr="00A82D4F">
        <w:trPr>
          <w:trHeight w:val="584"/>
        </w:trPr>
        <w:tc>
          <w:tcPr>
            <w:tcW w:w="1842" w:type="dxa"/>
            <w:shd w:val="clear" w:color="auto" w:fill="auto"/>
            <w:tcMar>
              <w:top w:w="72" w:type="dxa"/>
              <w:left w:w="144" w:type="dxa"/>
              <w:bottom w:w="72" w:type="dxa"/>
              <w:right w:w="144" w:type="dxa"/>
            </w:tcMar>
          </w:tcPr>
          <w:p w14:paraId="52A96E61"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b/>
                <w:sz w:val="16"/>
                <w:szCs w:val="16"/>
              </w:rPr>
              <w:t>Just Transition Energy Climate Job (TRAJECT)</w:t>
            </w:r>
          </w:p>
        </w:tc>
        <w:tc>
          <w:tcPr>
            <w:tcW w:w="1187" w:type="dxa"/>
            <w:shd w:val="clear" w:color="auto" w:fill="auto"/>
            <w:tcMar>
              <w:top w:w="72" w:type="dxa"/>
              <w:left w:w="144" w:type="dxa"/>
              <w:bottom w:w="72" w:type="dxa"/>
              <w:right w:w="144" w:type="dxa"/>
            </w:tcMar>
          </w:tcPr>
          <w:p w14:paraId="48FC7327"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AWAC</w:t>
            </w:r>
          </w:p>
        </w:tc>
        <w:tc>
          <w:tcPr>
            <w:tcW w:w="1366" w:type="dxa"/>
            <w:shd w:val="clear" w:color="auto" w:fill="auto"/>
            <w:tcMar>
              <w:top w:w="72" w:type="dxa"/>
              <w:left w:w="144" w:type="dxa"/>
              <w:bottom w:w="72" w:type="dxa"/>
              <w:right w:w="144" w:type="dxa"/>
            </w:tcMar>
          </w:tcPr>
          <w:p w14:paraId="17DA78EF"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 xml:space="preserve">From March 2021 </w:t>
            </w:r>
          </w:p>
        </w:tc>
        <w:tc>
          <w:tcPr>
            <w:tcW w:w="1984" w:type="dxa"/>
            <w:shd w:val="clear" w:color="auto" w:fill="auto"/>
            <w:tcMar>
              <w:top w:w="72" w:type="dxa"/>
              <w:left w:w="144" w:type="dxa"/>
              <w:bottom w:w="72" w:type="dxa"/>
              <w:right w:w="144" w:type="dxa"/>
            </w:tcMar>
          </w:tcPr>
          <w:p w14:paraId="335E3387"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To be defined</w:t>
            </w:r>
          </w:p>
        </w:tc>
        <w:tc>
          <w:tcPr>
            <w:tcW w:w="1418" w:type="dxa"/>
            <w:shd w:val="clear" w:color="auto" w:fill="auto"/>
            <w:tcMar>
              <w:top w:w="72" w:type="dxa"/>
              <w:left w:w="144" w:type="dxa"/>
              <w:bottom w:w="72" w:type="dxa"/>
              <w:right w:w="144" w:type="dxa"/>
            </w:tcMar>
          </w:tcPr>
          <w:p w14:paraId="3FEB9F8E"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To be defined</w:t>
            </w:r>
          </w:p>
        </w:tc>
        <w:tc>
          <w:tcPr>
            <w:tcW w:w="1417" w:type="dxa"/>
            <w:shd w:val="clear" w:color="auto" w:fill="auto"/>
            <w:tcMar>
              <w:top w:w="72" w:type="dxa"/>
              <w:left w:w="144" w:type="dxa"/>
              <w:bottom w:w="72" w:type="dxa"/>
              <w:right w:w="144" w:type="dxa"/>
            </w:tcMar>
          </w:tcPr>
          <w:p w14:paraId="4D54D870" w14:textId="77777777" w:rsidR="009F00EC" w:rsidRDefault="009F00EC" w:rsidP="00A82D4F">
            <w:p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Wallonia</w:t>
            </w:r>
          </w:p>
        </w:tc>
      </w:tr>
    </w:tbl>
    <w:p w14:paraId="5C7130F3" w14:textId="77777777" w:rsidR="009F00EC" w:rsidRDefault="009F00EC" w:rsidP="009F00EC">
      <w:pPr>
        <w:pStyle w:val="Caption"/>
      </w:pPr>
      <w:bookmarkStart w:id="5" w:name="_Toc101099967"/>
      <w:r>
        <w:t>Figure 2.1:</w:t>
      </w:r>
      <w:r>
        <w:tab/>
        <w:t>Related projects &amp; their research foci</w:t>
      </w:r>
      <w:bookmarkEnd w:id="5"/>
    </w:p>
    <w:p w14:paraId="7D6FB948" w14:textId="77777777" w:rsidR="009F00EC" w:rsidRDefault="009F00EC" w:rsidP="009F00EC">
      <w:pPr>
        <w:rPr>
          <w:rFonts w:ascii="Hind" w:eastAsia="Hind" w:hAnsi="Hind" w:cs="Hind"/>
          <w:b/>
          <w:color w:val="115868"/>
          <w:sz w:val="36"/>
          <w:szCs w:val="36"/>
        </w:rPr>
      </w:pPr>
      <w:r>
        <w:br w:type="page"/>
      </w:r>
    </w:p>
    <w:p w14:paraId="42240BA6" w14:textId="2614849E" w:rsidR="009F00EC" w:rsidRDefault="009F00EC" w:rsidP="009F00EC">
      <w:pPr>
        <w:pStyle w:val="LAMARTRAHeading1"/>
        <w:rPr>
          <w:rFonts w:eastAsia="Hind"/>
        </w:rPr>
      </w:pPr>
      <w:bookmarkStart w:id="6" w:name="_Toc101099958"/>
      <w:r>
        <w:rPr>
          <w:rFonts w:eastAsia="Hind"/>
        </w:rPr>
        <w:lastRenderedPageBreak/>
        <w:t>3</w:t>
      </w:r>
      <w:r>
        <w:rPr>
          <w:rFonts w:eastAsia="Hind"/>
        </w:rPr>
        <w:tab/>
        <w:t xml:space="preserve">WP-specific </w:t>
      </w:r>
      <w:r w:rsidR="005B1D30">
        <w:rPr>
          <w:rFonts w:eastAsia="Hind"/>
        </w:rPr>
        <w:t xml:space="preserve">considerations </w:t>
      </w:r>
      <w:r>
        <w:rPr>
          <w:rFonts w:eastAsia="Hind"/>
        </w:rPr>
        <w:t>case selection/demarcation</w:t>
      </w:r>
      <w:bookmarkEnd w:id="6"/>
    </w:p>
    <w:p w14:paraId="7BDFA8F5" w14:textId="77777777" w:rsidR="009F00EC" w:rsidRDefault="009F00EC" w:rsidP="00151111">
      <w:pPr>
        <w:ind w:firstLine="708"/>
      </w:pPr>
      <w:r>
        <w:rPr>
          <w:rFonts w:ascii="Arial" w:eastAsia="Arial" w:hAnsi="Arial" w:cs="Arial"/>
        </w:rPr>
        <w:t xml:space="preserve">This chapter presents specific considerations for WP2 </w:t>
      </w:r>
      <w:r w:rsidRPr="00D910E7">
        <w:rPr>
          <w:rFonts w:ascii="Arial" w:eastAsia="Arial" w:hAnsi="Arial" w:cs="Arial"/>
          <w:b/>
        </w:rPr>
        <w:t>(section 3.1)</w:t>
      </w:r>
      <w:r>
        <w:rPr>
          <w:rFonts w:ascii="Arial" w:eastAsia="Arial" w:hAnsi="Arial" w:cs="Arial"/>
        </w:rPr>
        <w:t xml:space="preserve">, WP3 </w:t>
      </w:r>
      <w:r w:rsidRPr="00D910E7">
        <w:rPr>
          <w:rFonts w:ascii="Arial" w:eastAsia="Arial" w:hAnsi="Arial" w:cs="Arial"/>
          <w:b/>
        </w:rPr>
        <w:t>(section 3.2)</w:t>
      </w:r>
      <w:r>
        <w:rPr>
          <w:rFonts w:ascii="Arial" w:eastAsia="Arial" w:hAnsi="Arial" w:cs="Arial"/>
        </w:rPr>
        <w:t xml:space="preserve">, WP4 </w:t>
      </w:r>
      <w:r w:rsidRPr="00D910E7">
        <w:rPr>
          <w:rFonts w:ascii="Arial" w:eastAsia="Arial" w:hAnsi="Arial" w:cs="Arial"/>
          <w:b/>
        </w:rPr>
        <w:t>(section 3.3)</w:t>
      </w:r>
      <w:r>
        <w:rPr>
          <w:rFonts w:ascii="Arial" w:eastAsia="Arial" w:hAnsi="Arial" w:cs="Arial"/>
        </w:rPr>
        <w:t xml:space="preserve"> and WP5 </w:t>
      </w:r>
      <w:r w:rsidRPr="00D910E7">
        <w:rPr>
          <w:rFonts w:ascii="Arial" w:eastAsia="Arial" w:hAnsi="Arial" w:cs="Arial"/>
          <w:b/>
        </w:rPr>
        <w:t>(section 3.4)</w:t>
      </w:r>
      <w:r>
        <w:rPr>
          <w:rFonts w:ascii="Arial" w:eastAsia="Arial" w:hAnsi="Arial" w:cs="Arial"/>
        </w:rPr>
        <w:t xml:space="preserve">. </w:t>
      </w:r>
    </w:p>
    <w:p w14:paraId="4E61AE0C" w14:textId="77777777" w:rsidR="009F00EC" w:rsidRDefault="009F00EC" w:rsidP="009F00EC"/>
    <w:p w14:paraId="145EE3B2" w14:textId="5E737625" w:rsidR="009F00EC" w:rsidRDefault="009F00EC" w:rsidP="009F00EC">
      <w:pPr>
        <w:pStyle w:val="LAMARTRAHeading2"/>
        <w:rPr>
          <w:rFonts w:eastAsia="Hind"/>
        </w:rPr>
      </w:pPr>
      <w:bookmarkStart w:id="7" w:name="_Toc101099959"/>
      <w:r>
        <w:t>3.1</w:t>
      </w:r>
      <w:r>
        <w:tab/>
      </w:r>
      <w:r>
        <w:rPr>
          <w:rFonts w:eastAsia="Hind"/>
        </w:rPr>
        <w:t>Towards integrative theory &amp; transitions policy mixes (WP2)</w:t>
      </w:r>
      <w:bookmarkEnd w:id="7"/>
    </w:p>
    <w:p w14:paraId="1751D545" w14:textId="77777777" w:rsidR="009F00EC" w:rsidRDefault="009F00EC" w:rsidP="00151111">
      <w:pPr>
        <w:spacing w:before="120" w:after="120"/>
        <w:ind w:firstLine="284"/>
        <w:jc w:val="both"/>
        <w:rPr>
          <w:rFonts w:ascii="Arial" w:eastAsia="Arial" w:hAnsi="Arial" w:cs="Arial"/>
        </w:rPr>
      </w:pPr>
      <w:r>
        <w:rPr>
          <w:rFonts w:ascii="Arial" w:eastAsia="Arial" w:hAnsi="Arial" w:cs="Arial"/>
        </w:rPr>
        <w:t xml:space="preserve">This section presents the main requirements/preferences from the point of view of the transitions governance analysis, the empirical part of WP2. The main choice of sector is not very sensitive for this stream of empirical research. That is to say, case demarcation does not necessarily follow usual categorisations in terms of specific economic sectors. Cases usually take the form of functional socio-technical systems (e.g. mobility, energy, food &amp; agriculture, Cf. Grin et al. 2010), strategic action fields in which particular issues of public are negotiated (Fligstein &amp; McAdam 2011) or arenas of actors that form around a particular technology or socio-technical innovation (Jørgensen 2012). </w:t>
      </w:r>
    </w:p>
    <w:p w14:paraId="396F74FC" w14:textId="77777777" w:rsidR="009F00EC" w:rsidRDefault="009F00EC" w:rsidP="009F00EC">
      <w:pPr>
        <w:numPr>
          <w:ilvl w:val="0"/>
          <w:numId w:val="8"/>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Relevance for transition ‘policy mixes’.</w:t>
      </w:r>
      <w:r>
        <w:rPr>
          <w:rFonts w:ascii="Arial" w:eastAsia="Arial" w:hAnsi="Arial" w:cs="Arial"/>
        </w:rPr>
        <w:t xml:space="preserve"> Case studies n</w:t>
      </w:r>
      <w:r>
        <w:rPr>
          <w:rFonts w:ascii="Arial" w:eastAsia="Arial" w:hAnsi="Arial" w:cs="Arial"/>
          <w:color w:val="000000"/>
        </w:rPr>
        <w:t xml:space="preserve">eed to be relevant for study of transition ‘policy mixes’ (Kivimaa &amp; Kern 2016). The </w:t>
      </w:r>
      <w:r>
        <w:rPr>
          <w:rFonts w:ascii="Arial" w:eastAsia="Arial" w:hAnsi="Arial" w:cs="Arial"/>
        </w:rPr>
        <w:t>‘</w:t>
      </w:r>
      <w:r>
        <w:rPr>
          <w:rFonts w:ascii="Arial" w:eastAsia="Arial" w:hAnsi="Arial" w:cs="Arial"/>
          <w:color w:val="000000"/>
        </w:rPr>
        <w:t>salient sectors</w:t>
      </w:r>
      <w:r>
        <w:rPr>
          <w:rFonts w:ascii="Arial" w:eastAsia="Arial" w:hAnsi="Arial" w:cs="Arial"/>
        </w:rPr>
        <w:t>’</w:t>
      </w:r>
      <w:r>
        <w:rPr>
          <w:rFonts w:ascii="Arial" w:eastAsia="Arial" w:hAnsi="Arial" w:cs="Arial"/>
          <w:color w:val="000000"/>
        </w:rPr>
        <w:t xml:space="preserve"> selected should somehow </w:t>
      </w:r>
      <w:r>
        <w:rPr>
          <w:rFonts w:ascii="Arial" w:eastAsia="Arial" w:hAnsi="Arial" w:cs="Arial"/>
        </w:rPr>
        <w:t xml:space="preserve">be displaying interesting </w:t>
      </w:r>
      <w:r w:rsidRPr="00A10692">
        <w:rPr>
          <w:rFonts w:ascii="Arial" w:eastAsia="Arial" w:hAnsi="Arial" w:cs="Arial"/>
          <w:b/>
        </w:rPr>
        <w:t>multi-actor transition governance processes</w:t>
      </w:r>
      <w:r>
        <w:rPr>
          <w:rFonts w:ascii="Arial" w:eastAsia="Arial" w:hAnsi="Arial" w:cs="Arial"/>
        </w:rPr>
        <w:t xml:space="preserve"> (cutting across private/public/civil society), </w:t>
      </w:r>
      <w:r w:rsidRPr="00A10692">
        <w:rPr>
          <w:rFonts w:ascii="Arial" w:eastAsia="Arial" w:hAnsi="Arial" w:cs="Arial"/>
          <w:b/>
        </w:rPr>
        <w:t>interplay</w:t>
      </w:r>
      <w:r>
        <w:rPr>
          <w:rFonts w:ascii="Arial" w:eastAsia="Arial" w:hAnsi="Arial" w:cs="Arial"/>
        </w:rPr>
        <w:t xml:space="preserve"> between social, technological, institutional and infrastructural </w:t>
      </w:r>
      <w:r w:rsidRPr="00A10692">
        <w:rPr>
          <w:rFonts w:ascii="Arial" w:eastAsia="Arial" w:hAnsi="Arial" w:cs="Arial"/>
          <w:b/>
        </w:rPr>
        <w:t>innovations</w:t>
      </w:r>
      <w:r>
        <w:rPr>
          <w:rFonts w:ascii="Arial" w:eastAsia="Arial" w:hAnsi="Arial" w:cs="Arial"/>
        </w:rPr>
        <w:t xml:space="preserve"> (the focus in transitions research), and dynamics of innovation and </w:t>
      </w:r>
      <w:r w:rsidRPr="00A10692">
        <w:rPr>
          <w:rFonts w:ascii="Arial" w:eastAsia="Arial" w:hAnsi="Arial" w:cs="Arial"/>
          <w:b/>
        </w:rPr>
        <w:t>exnovation</w:t>
      </w:r>
      <w:r>
        <w:rPr>
          <w:rFonts w:ascii="Arial" w:eastAsia="Arial" w:hAnsi="Arial" w:cs="Arial"/>
        </w:rPr>
        <w:t xml:space="preserve"> (that theme of creative destruction that is central in transitions research). Transitions research is in principle sector-transcending, but it can be focused on a series of</w:t>
      </w:r>
      <w:r>
        <w:rPr>
          <w:rFonts w:ascii="Arial" w:eastAsia="Arial" w:hAnsi="Arial" w:cs="Arial"/>
          <w:i/>
        </w:rPr>
        <w:t xml:space="preserve"> </w:t>
      </w:r>
      <w:r w:rsidRPr="00A10692">
        <w:rPr>
          <w:rFonts w:ascii="Arial" w:eastAsia="Arial" w:hAnsi="Arial" w:cs="Arial"/>
        </w:rPr>
        <w:t>‘salient sectors’</w:t>
      </w:r>
      <w:r>
        <w:rPr>
          <w:rFonts w:ascii="Arial" w:eastAsia="Arial" w:hAnsi="Arial" w:cs="Arial"/>
          <w:i/>
        </w:rPr>
        <w:t>.</w:t>
      </w:r>
      <w:r>
        <w:rPr>
          <w:rFonts w:ascii="Arial" w:eastAsia="Arial" w:hAnsi="Arial" w:cs="Arial"/>
        </w:rPr>
        <w:t xml:space="preserve"> </w:t>
      </w:r>
    </w:p>
    <w:p w14:paraId="03E7B4E0" w14:textId="77777777" w:rsidR="009F00EC" w:rsidRDefault="009F00EC" w:rsidP="009F00EC">
      <w:pPr>
        <w:numPr>
          <w:ilvl w:val="0"/>
          <w:numId w:val="8"/>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Connected, intersecting cases:</w:t>
      </w:r>
      <w:r>
        <w:rPr>
          <w:rFonts w:ascii="Arial" w:eastAsia="Arial" w:hAnsi="Arial" w:cs="Arial"/>
        </w:rPr>
        <w:t xml:space="preserve"> Key units of analysis in transitions research are functional societal subsystems like mobility, energy, food, systems. It focuses on socio-technical ‘regimes’, dominant sets of rules that guided the development of these socio-technical systems. Transitions theory does not work along </w:t>
      </w:r>
      <w:proofErr w:type="gramStart"/>
      <w:r>
        <w:rPr>
          <w:rFonts w:ascii="Arial" w:eastAsia="Arial" w:hAnsi="Arial" w:cs="Arial"/>
        </w:rPr>
        <w:t>a</w:t>
      </w:r>
      <w:proofErr w:type="gramEnd"/>
      <w:r>
        <w:rPr>
          <w:rFonts w:ascii="Arial" w:eastAsia="Arial" w:hAnsi="Arial" w:cs="Arial"/>
        </w:rPr>
        <w:t xml:space="preserve"> distinction of economic or policy sectors. Cases of ‘salient sectors’ can for this empirical stream be demarcated more in terms of the socio-technical systems/’regimes’ that the sectors form part of, and in terms of the decision-making/innovation arenas that form around concrete transition issues. Transitions theory highlights that social, technical etc. innovations occur across sectors and socio-technical systems, and that there is co-evolution (Köhler et al. 2019) between developments in different sectors. It would make sense in this WP to mind the intersections (Pel 2014) between our four ‘salient sectors’. Relevant interactions between cases are: Jobs/workers migrating from one sector another, good/bad practices being transferred and imported. </w:t>
      </w:r>
      <w:r w:rsidRPr="00A10692">
        <w:rPr>
          <w:rFonts w:ascii="Arial" w:eastAsia="Arial" w:hAnsi="Arial" w:cs="Arial"/>
          <w:b/>
        </w:rPr>
        <w:t>The ‘salient sectors</w:t>
      </w:r>
      <w:r>
        <w:rPr>
          <w:rFonts w:ascii="Arial" w:eastAsia="Arial" w:hAnsi="Arial" w:cs="Arial"/>
          <w:b/>
        </w:rPr>
        <w:t>’</w:t>
      </w:r>
      <w:r w:rsidRPr="00A10692">
        <w:rPr>
          <w:rFonts w:ascii="Arial" w:eastAsia="Arial" w:hAnsi="Arial" w:cs="Arial"/>
          <w:b/>
        </w:rPr>
        <w:t xml:space="preserve"> do not evolve in isolation. </w:t>
      </w:r>
    </w:p>
    <w:p w14:paraId="6B12BA3B" w14:textId="77777777" w:rsidR="009F00EC" w:rsidRDefault="009F00EC" w:rsidP="009F00EC">
      <w:pPr>
        <w:numPr>
          <w:ilvl w:val="0"/>
          <w:numId w:val="8"/>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Temporal demarcation:</w:t>
      </w:r>
      <w:r>
        <w:rPr>
          <w:rFonts w:ascii="Arial" w:eastAsia="Arial" w:hAnsi="Arial" w:cs="Arial"/>
        </w:rPr>
        <w:t xml:space="preserve"> Transitions are long-term processes of structural change. The cases need to be demarcated such in this WP that they allow for some process understanding, i.e. development over time, innovation, and anticipation of future changes. The purely historical cases (e.g. the studies of the rise of ‘industrial modernity’, mass manufacturing or the introduction of grain elevator technology, Cf. van Driel &amp; Schot 2005; Schot &amp; Kanger 2018) are not suitable. These bird’s eye view analyses are too remote from our interest in policy mixes. Cases n</w:t>
      </w:r>
      <w:r>
        <w:rPr>
          <w:rFonts w:ascii="Arial" w:eastAsia="Arial" w:hAnsi="Arial" w:cs="Arial"/>
          <w:color w:val="000000"/>
        </w:rPr>
        <w:t xml:space="preserve">eed to involve </w:t>
      </w:r>
      <w:r>
        <w:rPr>
          <w:rFonts w:ascii="Arial" w:eastAsia="Arial" w:hAnsi="Arial" w:cs="Arial"/>
          <w:i/>
          <w:color w:val="000000"/>
        </w:rPr>
        <w:lastRenderedPageBreak/>
        <w:t>ongoing</w:t>
      </w:r>
      <w:r>
        <w:rPr>
          <w:rFonts w:ascii="Arial" w:eastAsia="Arial" w:hAnsi="Arial" w:cs="Arial"/>
        </w:rPr>
        <w:t>/</w:t>
      </w:r>
      <w:r>
        <w:rPr>
          <w:rFonts w:ascii="Arial" w:eastAsia="Arial" w:hAnsi="Arial" w:cs="Arial"/>
          <w:i/>
          <w:color w:val="000000"/>
        </w:rPr>
        <w:t>recent past/anticipated futures</w:t>
      </w:r>
      <w:r>
        <w:rPr>
          <w:rFonts w:ascii="Arial" w:eastAsia="Arial" w:hAnsi="Arial" w:cs="Arial"/>
          <w:color w:val="000000"/>
        </w:rPr>
        <w:t xml:space="preserve"> transitions (Garud &amp; Gehman 2012)</w:t>
      </w:r>
      <w:r>
        <w:rPr>
          <w:rFonts w:ascii="Arial" w:eastAsia="Arial" w:hAnsi="Arial" w:cs="Arial"/>
        </w:rPr>
        <w:t>.</w:t>
      </w:r>
      <w:r>
        <w:rPr>
          <w:rFonts w:ascii="Arial" w:eastAsia="Arial" w:hAnsi="Arial" w:cs="Arial"/>
          <w:color w:val="000000"/>
        </w:rPr>
        <w:t xml:space="preserve"> Cases also </w:t>
      </w:r>
      <w:r>
        <w:rPr>
          <w:rFonts w:ascii="Arial" w:eastAsia="Arial" w:hAnsi="Arial" w:cs="Arial"/>
        </w:rPr>
        <w:t>better</w:t>
      </w:r>
      <w:r>
        <w:rPr>
          <w:rFonts w:ascii="Arial" w:eastAsia="Arial" w:hAnsi="Arial" w:cs="Arial"/>
          <w:color w:val="000000"/>
        </w:rPr>
        <w:t xml:space="preserve"> not focus on </w:t>
      </w:r>
      <w:proofErr w:type="gramStart"/>
      <w:r>
        <w:rPr>
          <w:rFonts w:ascii="Arial" w:eastAsia="Arial" w:hAnsi="Arial" w:cs="Arial"/>
          <w:color w:val="000000"/>
        </w:rPr>
        <w:t>transitions</w:t>
      </w:r>
      <w:proofErr w:type="gramEnd"/>
      <w:r>
        <w:rPr>
          <w:rFonts w:ascii="Arial" w:eastAsia="Arial" w:hAnsi="Arial" w:cs="Arial"/>
          <w:color w:val="000000"/>
        </w:rPr>
        <w:t xml:space="preserve"> mainly </w:t>
      </w:r>
      <w:r>
        <w:rPr>
          <w:rFonts w:ascii="Arial" w:eastAsia="Arial" w:hAnsi="Arial" w:cs="Arial"/>
          <w:i/>
          <w:color w:val="000000"/>
        </w:rPr>
        <w:t>projected</w:t>
      </w:r>
      <w:r>
        <w:rPr>
          <w:rFonts w:ascii="Arial" w:eastAsia="Arial" w:hAnsi="Arial" w:cs="Arial"/>
          <w:color w:val="000000"/>
        </w:rPr>
        <w:t xml:space="preserve"> to unfold, and without somehow visible </w:t>
      </w:r>
      <w:r>
        <w:rPr>
          <w:rFonts w:ascii="Arial" w:eastAsia="Arial" w:hAnsi="Arial" w:cs="Arial"/>
        </w:rPr>
        <w:t>‘labour’ implications - (for example the ‘autonomous cars’, which have remained future visions for decades)</w:t>
      </w:r>
      <w:r>
        <w:rPr>
          <w:rFonts w:ascii="Arial" w:eastAsia="Arial" w:hAnsi="Arial" w:cs="Arial"/>
          <w:color w:val="000000"/>
        </w:rPr>
        <w:t xml:space="preserve">. Empirical analysis should be close to day-to-day decision-making. </w:t>
      </w:r>
    </w:p>
    <w:p w14:paraId="487F66DD" w14:textId="77777777" w:rsidR="009F00EC" w:rsidRDefault="009F00EC" w:rsidP="009F00EC">
      <w:pPr>
        <w:numPr>
          <w:ilvl w:val="0"/>
          <w:numId w:val="8"/>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Access to data:</w:t>
      </w:r>
      <w:r>
        <w:rPr>
          <w:rFonts w:ascii="Arial" w:eastAsia="Arial" w:hAnsi="Arial" w:cs="Arial"/>
        </w:rPr>
        <w:t xml:space="preserve"> This empirical stream will work with a combination of document analysis, semi-structured interviews with transition governance actors (state and non-state actors), and focus groups/workshops</w:t>
      </w:r>
      <w:r>
        <w:rPr>
          <w:rStyle w:val="FootnoteReference"/>
          <w:rFonts w:ascii="Arial" w:eastAsia="Arial" w:hAnsi="Arial" w:cs="Arial"/>
        </w:rPr>
        <w:footnoteReference w:id="8"/>
      </w:r>
      <w:r>
        <w:rPr>
          <w:rFonts w:ascii="Arial" w:eastAsia="Arial" w:hAnsi="Arial" w:cs="Arial"/>
        </w:rPr>
        <w:t xml:space="preserve">. The precise balance between those can be chosen according to availability of documents/respondents in chosen ‘salient sectors’. The sectors with all too high secrecy/political sensitivity may be problematic - we do need to get a reasonable sense of actor dynamics, and reliable/detailed accounts of governance challenges. </w:t>
      </w:r>
    </w:p>
    <w:p w14:paraId="5A9A08D2" w14:textId="77777777" w:rsidR="009F00EC" w:rsidRDefault="009F00EC" w:rsidP="009F00EC">
      <w:pPr>
        <w:numPr>
          <w:ilvl w:val="0"/>
          <w:numId w:val="8"/>
        </w:numPr>
        <w:pBdr>
          <w:top w:val="nil"/>
          <w:left w:val="nil"/>
          <w:bottom w:val="nil"/>
          <w:right w:val="nil"/>
          <w:between w:val="nil"/>
        </w:pBdr>
        <w:spacing w:before="120" w:after="120"/>
        <w:ind w:left="0" w:firstLine="284"/>
        <w:jc w:val="both"/>
        <w:rPr>
          <w:rFonts w:ascii="Arial" w:eastAsia="Arial" w:hAnsi="Arial" w:cs="Arial"/>
        </w:rPr>
      </w:pPr>
      <w:r>
        <w:rPr>
          <w:rFonts w:ascii="Arial" w:eastAsia="Arial" w:hAnsi="Arial" w:cs="Arial"/>
          <w:b/>
        </w:rPr>
        <w:t>Case preferences/empirical ‘comfort zone’:</w:t>
      </w:r>
      <w:r>
        <w:rPr>
          <w:rFonts w:ascii="Arial" w:eastAsia="Arial" w:hAnsi="Arial" w:cs="Arial"/>
        </w:rPr>
        <w:t xml:space="preserve"> ULB team has no strong preferences here, but certain economic sectors/policy domains are more familiar than others. Within LAMARTRA, ULB is probably the most specifically oriented towards environmentally salient sectors. Literature review thus far (on ‘deep transitions, notably) suggests to focus on issues of ‘digital transition’: As key driver of socio-technical transition, as mixture of emergent and purposive transition, and as transition dynamic cutting through various sectors. This ‘digital transition’ is also an important link between labour transition and low-carbon transition. </w:t>
      </w:r>
    </w:p>
    <w:p w14:paraId="625146A4" w14:textId="77777777" w:rsidR="009F00EC" w:rsidRDefault="009F00EC" w:rsidP="009F00EC">
      <w:pPr>
        <w:spacing w:before="120" w:after="120"/>
        <w:rPr>
          <w:rFonts w:ascii="Arial" w:eastAsia="Arial" w:hAnsi="Arial" w:cs="Arial"/>
        </w:rPr>
      </w:pPr>
    </w:p>
    <w:p w14:paraId="630FE010" w14:textId="0B4F7B13" w:rsidR="009F00EC" w:rsidRPr="00524E3B" w:rsidRDefault="009F00EC" w:rsidP="009F00EC">
      <w:pPr>
        <w:pStyle w:val="LAMARTRAHeading2"/>
        <w:rPr>
          <w:rFonts w:eastAsia="Hind"/>
        </w:rPr>
      </w:pPr>
      <w:bookmarkStart w:id="8" w:name="_Toc101099960"/>
      <w:r>
        <w:rPr>
          <w:rFonts w:eastAsia="Hind"/>
        </w:rPr>
        <w:t>3.2</w:t>
      </w:r>
      <w:r>
        <w:rPr>
          <w:rFonts w:eastAsia="Hind"/>
        </w:rPr>
        <w:tab/>
        <w:t xml:space="preserve">Mapping the impact of </w:t>
      </w:r>
      <w:r w:rsidRPr="00524E3B">
        <w:rPr>
          <w:rFonts w:eastAsia="Hind"/>
        </w:rPr>
        <w:t>low-carbon transition on workers (WP3)</w:t>
      </w:r>
      <w:bookmarkEnd w:id="8"/>
    </w:p>
    <w:p w14:paraId="7313A186" w14:textId="77777777" w:rsidR="009F00EC" w:rsidRDefault="009F00EC" w:rsidP="00151111">
      <w:pPr>
        <w:spacing w:before="120" w:after="120"/>
        <w:ind w:firstLine="708"/>
        <w:jc w:val="both"/>
        <w:rPr>
          <w:rFonts w:ascii="Arial" w:eastAsia="Arial" w:hAnsi="Arial" w:cs="Arial"/>
        </w:rPr>
      </w:pPr>
      <w:r>
        <w:rPr>
          <w:rFonts w:ascii="Arial" w:eastAsia="Arial" w:hAnsi="Arial" w:cs="Arial"/>
        </w:rPr>
        <w:t xml:space="preserve">This section presents the main requirements and preferences from the perspective of </w:t>
      </w:r>
      <w:r>
        <w:rPr>
          <w:rFonts w:ascii="Arial" w:eastAsia="Arial" w:hAnsi="Arial" w:cs="Arial"/>
          <w:i/>
        </w:rPr>
        <w:t>mapping of the impact of the low-carbon transition on workers</w:t>
      </w:r>
      <w:r>
        <w:rPr>
          <w:rFonts w:ascii="Arial" w:eastAsia="Arial" w:hAnsi="Arial" w:cs="Arial"/>
        </w:rPr>
        <w:t>, i.e. the empirical analyses to be conducted in WP3. To map the impact of the low-carbon transition on workers, WP3 relies on administrative micro-data data from the Crossroad Bank for Social Security (CBSS). Two data requests will be prepared and will be submitted to the privacy commission of the CBSS (task 3.2): one on the workers in the most carbon-intensive companies, the other on the workers in the four sectors selected in WP2 (salient sectors). The first dataset (top-down approach) will be linked to the publicly available data of the EU Emission Trading System (EU ETS), which list the biggest carbon emitters in Belgium (task 3.3). The two datasets will be used for data analysis (task 3.4) and the dataset related to salient sectors will also serve for modelling (task 3.5).</w:t>
      </w:r>
    </w:p>
    <w:p w14:paraId="5328781B" w14:textId="77777777" w:rsidR="009F00EC" w:rsidRDefault="009F00EC" w:rsidP="00151111">
      <w:pPr>
        <w:spacing w:before="120" w:after="120"/>
        <w:ind w:firstLine="284"/>
        <w:jc w:val="both"/>
        <w:rPr>
          <w:rFonts w:ascii="Arial" w:eastAsia="Arial" w:hAnsi="Arial" w:cs="Arial"/>
        </w:rPr>
      </w:pPr>
      <w:r>
        <w:rPr>
          <w:rFonts w:ascii="Arial" w:eastAsia="Arial" w:hAnsi="Arial" w:cs="Arial"/>
        </w:rPr>
        <w:t>Points to take into consideration (some points have been taken over from other WPs as relevant):</w:t>
      </w:r>
    </w:p>
    <w:p w14:paraId="52948956" w14:textId="77777777" w:rsidR="009F00EC" w:rsidRDefault="009F00EC" w:rsidP="009F00EC">
      <w:pPr>
        <w:numPr>
          <w:ilvl w:val="0"/>
          <w:numId w:val="1"/>
        </w:numPr>
        <w:spacing w:before="120" w:after="120"/>
        <w:ind w:left="0" w:firstLine="284"/>
        <w:jc w:val="both"/>
        <w:rPr>
          <w:rFonts w:ascii="Arial" w:eastAsia="Arial" w:hAnsi="Arial" w:cs="Arial"/>
        </w:rPr>
      </w:pPr>
      <w:r>
        <w:rPr>
          <w:rFonts w:ascii="Arial" w:eastAsia="Arial" w:hAnsi="Arial" w:cs="Arial"/>
          <w:b/>
        </w:rPr>
        <w:t>Choice of sector/ connected cases</w:t>
      </w:r>
      <w:r>
        <w:rPr>
          <w:rFonts w:ascii="Arial" w:eastAsia="Arial" w:hAnsi="Arial" w:cs="Arial"/>
        </w:rPr>
        <w:t>: The choice of sectors is linked to the work done in other WPs, in addition to the points raised in the task description (‘salient sectors’ identified in WP2 + the most carbon-intensive industries should be covered)</w:t>
      </w:r>
    </w:p>
    <w:p w14:paraId="276586CE" w14:textId="77777777" w:rsidR="009F00EC" w:rsidRDefault="009F00EC" w:rsidP="009F00EC">
      <w:pPr>
        <w:numPr>
          <w:ilvl w:val="0"/>
          <w:numId w:val="8"/>
        </w:numPr>
        <w:spacing w:before="120" w:after="120"/>
        <w:ind w:left="0" w:firstLine="284"/>
        <w:jc w:val="both"/>
        <w:rPr>
          <w:rFonts w:ascii="Arial" w:eastAsia="Arial" w:hAnsi="Arial" w:cs="Arial"/>
        </w:rPr>
      </w:pPr>
      <w:r>
        <w:rPr>
          <w:rFonts w:ascii="Arial" w:eastAsia="Arial" w:hAnsi="Arial" w:cs="Arial"/>
          <w:b/>
        </w:rPr>
        <w:t>Relevance for transitions policy mixes.</w:t>
      </w:r>
      <w:r>
        <w:rPr>
          <w:rFonts w:ascii="Arial" w:eastAsia="Arial" w:hAnsi="Arial" w:cs="Arial"/>
        </w:rPr>
        <w:t xml:space="preserve"> Case studies need to be relevant to study transitions ‘policy mixes’, i.e. the ‘salient sectors’ selected should somehow be displaying interesting transition processes in the labour market, in the area of climate </w:t>
      </w:r>
      <w:r>
        <w:rPr>
          <w:rFonts w:ascii="Arial" w:eastAsia="Arial" w:hAnsi="Arial" w:cs="Arial"/>
        </w:rPr>
        <w:lastRenderedPageBreak/>
        <w:t>change, or both. We can think of this as a matrix with different cells. Then, it has to be decided how we can link this WP with other WPs, e.g. by covering the same sectors or by focusing in qualitative research on sectors that cannot be covered by quantitative research and vice versa.</w:t>
      </w:r>
    </w:p>
    <w:p w14:paraId="7CF14926" w14:textId="77777777" w:rsidR="009F00EC" w:rsidRDefault="009F00EC" w:rsidP="009F00EC">
      <w:pPr>
        <w:numPr>
          <w:ilvl w:val="0"/>
          <w:numId w:val="8"/>
        </w:numPr>
        <w:spacing w:before="120" w:after="120"/>
        <w:ind w:left="0" w:firstLine="284"/>
        <w:jc w:val="both"/>
        <w:rPr>
          <w:rFonts w:ascii="Arial" w:eastAsia="Arial" w:hAnsi="Arial" w:cs="Arial"/>
        </w:rPr>
      </w:pPr>
      <w:r>
        <w:rPr>
          <w:rFonts w:ascii="Arial" w:eastAsia="Arial" w:hAnsi="Arial" w:cs="Arial"/>
          <w:b/>
        </w:rPr>
        <w:t>Access to data:</w:t>
      </w:r>
      <w:r>
        <w:rPr>
          <w:rFonts w:ascii="Arial" w:eastAsia="Arial" w:hAnsi="Arial" w:cs="Arial"/>
        </w:rPr>
        <w:t xml:space="preserve"> Data should be available, </w:t>
      </w:r>
      <w:sdt>
        <w:sdtPr>
          <w:tag w:val="goog_rdk_3"/>
          <w:id w:val="-886338838"/>
        </w:sdtPr>
        <w:sdtEndPr/>
        <w:sdtContent/>
      </w:sdt>
      <w:sdt>
        <w:sdtPr>
          <w:tag w:val="goog_rdk_4"/>
          <w:id w:val="-1607501272"/>
        </w:sdtPr>
        <w:sdtEndPr/>
        <w:sdtContent/>
      </w:sdt>
      <w:r>
        <w:rPr>
          <w:rFonts w:ascii="Arial" w:eastAsia="Arial" w:hAnsi="Arial" w:cs="Arial"/>
        </w:rPr>
        <w:t>but it is to be checked at what level of aggregation. Another issue is whether there are sufficient cases for the sectors chosen to do meaningful analyses</w:t>
      </w:r>
      <w:r>
        <w:rPr>
          <w:rStyle w:val="FootnoteReference"/>
          <w:rFonts w:ascii="Arial" w:eastAsia="Arial" w:hAnsi="Arial" w:cs="Arial"/>
        </w:rPr>
        <w:footnoteReference w:id="9"/>
      </w:r>
      <w:r>
        <w:rPr>
          <w:rFonts w:ascii="Arial" w:eastAsia="Arial" w:hAnsi="Arial" w:cs="Arial"/>
        </w:rPr>
        <w:t xml:space="preserve">. </w:t>
      </w:r>
    </w:p>
    <w:p w14:paraId="4F903F79" w14:textId="77777777" w:rsidR="009F00EC" w:rsidRPr="00684E58" w:rsidRDefault="009F00EC" w:rsidP="009F00EC">
      <w:pPr>
        <w:numPr>
          <w:ilvl w:val="0"/>
          <w:numId w:val="8"/>
        </w:numPr>
        <w:spacing w:before="120" w:after="120"/>
        <w:ind w:left="0" w:firstLine="284"/>
        <w:jc w:val="both"/>
        <w:rPr>
          <w:rFonts w:ascii="Arial" w:eastAsia="Arial" w:hAnsi="Arial" w:cs="Arial"/>
        </w:rPr>
      </w:pPr>
      <w:r>
        <w:rPr>
          <w:rFonts w:ascii="Arial" w:eastAsia="Arial" w:hAnsi="Arial" w:cs="Arial"/>
          <w:b/>
        </w:rPr>
        <w:t>Other relevant projects that could be linked</w:t>
      </w:r>
      <w:r>
        <w:rPr>
          <w:rFonts w:ascii="Arial" w:eastAsia="Arial" w:hAnsi="Arial" w:cs="Arial"/>
        </w:rPr>
        <w:t>: One could f</w:t>
      </w:r>
      <w:sdt>
        <w:sdtPr>
          <w:tag w:val="goog_rdk_5"/>
          <w:id w:val="-583296527"/>
        </w:sdtPr>
        <w:sdtEndPr/>
        <w:sdtContent/>
      </w:sdt>
      <w:r>
        <w:rPr>
          <w:rFonts w:ascii="Arial" w:eastAsia="Arial" w:hAnsi="Arial" w:cs="Arial"/>
        </w:rPr>
        <w:t xml:space="preserve">ocus on sectors that are in focus in neighbouring projects, see </w:t>
      </w:r>
      <w:proofErr w:type="gramStart"/>
      <w:r>
        <w:rPr>
          <w:rFonts w:ascii="Arial" w:eastAsia="Arial" w:hAnsi="Arial" w:cs="Arial"/>
        </w:rPr>
        <w:t>e.g. :</w:t>
      </w:r>
      <w:proofErr w:type="gramEnd"/>
      <w:r>
        <w:rPr>
          <w:rFonts w:ascii="Arial" w:eastAsia="Arial" w:hAnsi="Arial" w:cs="Arial"/>
        </w:rPr>
        <w:t xml:space="preserve"> </w:t>
      </w:r>
      <w:hyperlink r:id="rId11">
        <w:r w:rsidRPr="00684E58">
          <w:rPr>
            <w:rFonts w:ascii="Arial" w:eastAsia="Arial" w:hAnsi="Arial" w:cs="Arial"/>
            <w:color w:val="1155CC"/>
            <w:u w:val="single"/>
          </w:rPr>
          <w:t>https://www.vlaio.be/nl/nieuws/moonshot-vlaanderen-co2-arm-2050</w:t>
        </w:r>
      </w:hyperlink>
      <w:r w:rsidRPr="00684E58">
        <w:rPr>
          <w:rFonts w:ascii="Arial" w:eastAsia="Arial" w:hAnsi="Arial" w:cs="Arial"/>
        </w:rPr>
        <w:t xml:space="preserve"> ‘Biogebaseerde chemie’; ‘Circulariteit van koolstof in materialen’; ‘Elektrificatie en procestransformatie’ Energie-innovatie’</w:t>
      </w:r>
    </w:p>
    <w:p w14:paraId="6BDFEAC8" w14:textId="77777777" w:rsidR="009F00EC" w:rsidRDefault="009F00EC" w:rsidP="009F00EC">
      <w:pPr>
        <w:numPr>
          <w:ilvl w:val="0"/>
          <w:numId w:val="8"/>
        </w:numPr>
        <w:spacing w:before="120" w:after="120"/>
        <w:ind w:left="0" w:firstLine="284"/>
        <w:jc w:val="both"/>
        <w:rPr>
          <w:rFonts w:ascii="Arial" w:eastAsia="Arial" w:hAnsi="Arial" w:cs="Arial"/>
        </w:rPr>
      </w:pPr>
      <w:r>
        <w:rPr>
          <w:rFonts w:ascii="Arial" w:eastAsia="Arial" w:hAnsi="Arial" w:cs="Arial"/>
          <w:b/>
        </w:rPr>
        <w:t>Case preferences/empirical ‘comfort zone’:</w:t>
      </w:r>
      <w:r>
        <w:rPr>
          <w:rFonts w:ascii="Arial" w:eastAsia="Arial" w:hAnsi="Arial" w:cs="Arial"/>
        </w:rPr>
        <w:t xml:space="preserve"> The HIVA team has no strong preferences here, but certain economic sectors/domains are more familiar than others (e.g. circular economy). </w:t>
      </w:r>
    </w:p>
    <w:p w14:paraId="083EF518" w14:textId="77777777" w:rsidR="009F00EC" w:rsidRDefault="009F00EC" w:rsidP="009F00EC">
      <w:pPr>
        <w:spacing w:before="120" w:after="120"/>
        <w:jc w:val="both"/>
        <w:rPr>
          <w:rFonts w:ascii="Arial" w:eastAsia="Arial" w:hAnsi="Arial" w:cs="Arial"/>
        </w:rPr>
      </w:pPr>
    </w:p>
    <w:p w14:paraId="724D45B3" w14:textId="15D3667A" w:rsidR="009F00EC" w:rsidRDefault="009F00EC" w:rsidP="009F00EC">
      <w:pPr>
        <w:pStyle w:val="LAMARTRAHeading2"/>
        <w:rPr>
          <w:rFonts w:eastAsia="Hind"/>
        </w:rPr>
      </w:pPr>
      <w:bookmarkStart w:id="9" w:name="_Toc101099961"/>
      <w:r>
        <w:rPr>
          <w:rFonts w:eastAsia="Hind"/>
        </w:rPr>
        <w:t>3.3</w:t>
      </w:r>
      <w:r>
        <w:rPr>
          <w:rFonts w:eastAsia="Hind"/>
        </w:rPr>
        <w:tab/>
        <w:t>Anticipating low carbon/ labour pathways (WP4)</w:t>
      </w:r>
      <w:bookmarkEnd w:id="9"/>
    </w:p>
    <w:p w14:paraId="1977D5C5" w14:textId="77777777" w:rsidR="009F00EC" w:rsidRPr="00F273A2" w:rsidRDefault="009F00EC" w:rsidP="00151111">
      <w:pPr>
        <w:spacing w:before="120" w:after="120"/>
        <w:ind w:firstLine="708"/>
        <w:jc w:val="both"/>
        <w:rPr>
          <w:rFonts w:ascii="Arial" w:eastAsia="Arial" w:hAnsi="Arial" w:cs="Arial"/>
          <w:b/>
        </w:rPr>
      </w:pPr>
      <w:r>
        <w:rPr>
          <w:rFonts w:ascii="Arial" w:eastAsia="Arial" w:hAnsi="Arial" w:cs="Arial"/>
        </w:rPr>
        <w:t xml:space="preserve">The empirical research of WP4 revolves around </w:t>
      </w:r>
      <w:r w:rsidRPr="006B5E45">
        <w:rPr>
          <w:rFonts w:ascii="Arial" w:eastAsia="Arial" w:hAnsi="Arial" w:cs="Arial"/>
          <w:b/>
        </w:rPr>
        <w:t>hybrid fora</w:t>
      </w:r>
      <w:r w:rsidRPr="00F273A2">
        <w:rPr>
          <w:rFonts w:ascii="Arial" w:eastAsia="Arial" w:hAnsi="Arial" w:cs="Arial"/>
        </w:rPr>
        <w:t>.</w:t>
      </w:r>
      <w:r>
        <w:rPr>
          <w:rFonts w:ascii="Arial" w:eastAsia="Arial" w:hAnsi="Arial" w:cs="Arial"/>
          <w:b/>
        </w:rPr>
        <w:t xml:space="preserve"> </w:t>
      </w:r>
      <w:r>
        <w:rPr>
          <w:rFonts w:ascii="Arial" w:eastAsia="Arial" w:hAnsi="Arial" w:cs="Arial"/>
        </w:rPr>
        <w:t xml:space="preserve">The method of hybrid fora suggest to transform </w:t>
      </w:r>
      <w:r w:rsidRPr="00F273A2">
        <w:rPr>
          <w:rFonts w:ascii="Arial" w:eastAsia="Arial" w:hAnsi="Arial" w:cs="Arial"/>
        </w:rPr>
        <w:t>sociotechnical controversies</w:t>
      </w:r>
      <w:r>
        <w:rPr>
          <w:rFonts w:ascii="Arial" w:eastAsia="Arial" w:hAnsi="Arial" w:cs="Arial"/>
        </w:rPr>
        <w:t xml:space="preserve"> produced by experts, non-experts, citizens and politicians into productive conversations (Callon et al. 2009). It also brings uncertainties to the fore “not only allowing actors outside but also inside the traditional institutional settings to make alternative knowledge claims and policy recommendations” (Leunbach and Nielsen 2019, p.5). </w:t>
      </w:r>
    </w:p>
    <w:p w14:paraId="2550B638" w14:textId="77777777" w:rsidR="009F00EC" w:rsidRDefault="009F00EC" w:rsidP="00151111">
      <w:pPr>
        <w:spacing w:before="120" w:after="120"/>
        <w:ind w:firstLine="708"/>
        <w:jc w:val="both"/>
        <w:rPr>
          <w:rFonts w:ascii="Arial" w:eastAsia="Arial" w:hAnsi="Arial" w:cs="Arial"/>
        </w:rPr>
      </w:pPr>
      <w:r>
        <w:rPr>
          <w:rFonts w:ascii="Arial" w:eastAsia="Arial" w:hAnsi="Arial" w:cs="Arial"/>
        </w:rPr>
        <w:t xml:space="preserve">The main issue of hybrid forum is to build </w:t>
      </w:r>
      <w:r w:rsidRPr="00F273A2">
        <w:rPr>
          <w:rFonts w:ascii="Arial" w:eastAsia="Arial" w:hAnsi="Arial" w:cs="Arial"/>
        </w:rPr>
        <w:t>“</w:t>
      </w:r>
      <w:r w:rsidRPr="00F273A2">
        <w:rPr>
          <w:rFonts w:ascii="Arial" w:eastAsia="Arial" w:hAnsi="Arial" w:cs="Arial"/>
          <w:i/>
        </w:rPr>
        <w:t>emergent concerned groups</w:t>
      </w:r>
      <w:r w:rsidRPr="00F273A2">
        <w:rPr>
          <w:rFonts w:ascii="Arial" w:eastAsia="Arial" w:hAnsi="Arial" w:cs="Arial"/>
        </w:rPr>
        <w:t>”</w:t>
      </w:r>
      <w:r>
        <w:rPr>
          <w:rFonts w:ascii="Arial" w:eastAsia="Arial" w:hAnsi="Arial" w:cs="Arial"/>
        </w:rPr>
        <w:t xml:space="preserve"> (Callon and Rabeharisoa 2008: 5). As Leunbach &amp; Nielsen (2019: 5) summarize it, hybrid fora comprise </w:t>
      </w:r>
      <w:r>
        <w:rPr>
          <w:rFonts w:ascii="Arial" w:eastAsia="Arial" w:hAnsi="Arial" w:cs="Arial"/>
          <w:i/>
        </w:rPr>
        <w:t xml:space="preserve">“organized activities designed to include many different voices in the deliberation, but they may also involve </w:t>
      </w:r>
      <w:r w:rsidRPr="00F273A2">
        <w:rPr>
          <w:rFonts w:ascii="Arial" w:eastAsia="Arial" w:hAnsi="Arial" w:cs="Arial"/>
          <w:i/>
        </w:rPr>
        <w:t>unanticipated events</w:t>
      </w:r>
      <w:r>
        <w:rPr>
          <w:rFonts w:ascii="Arial" w:eastAsia="Arial" w:hAnsi="Arial" w:cs="Arial"/>
          <w:i/>
        </w:rPr>
        <w:t>, often confrontations, where different perspectives clash and new identities emerge</w:t>
      </w:r>
      <w:r>
        <w:rPr>
          <w:rFonts w:ascii="Arial" w:eastAsia="Arial" w:hAnsi="Arial" w:cs="Arial"/>
        </w:rPr>
        <w:t>”.</w:t>
      </w:r>
    </w:p>
    <w:p w14:paraId="40782566" w14:textId="77777777" w:rsidR="009F00EC" w:rsidRDefault="009F00EC" w:rsidP="00151111">
      <w:pPr>
        <w:spacing w:before="120" w:after="120"/>
        <w:ind w:firstLine="708"/>
        <w:jc w:val="both"/>
        <w:rPr>
          <w:rFonts w:ascii="Arial" w:eastAsia="Arial" w:hAnsi="Arial" w:cs="Arial"/>
        </w:rPr>
      </w:pPr>
      <w:r>
        <w:rPr>
          <w:rFonts w:ascii="Arial" w:eastAsia="Arial" w:hAnsi="Arial" w:cs="Arial"/>
        </w:rPr>
        <w:t xml:space="preserve">For the researcher, it implies a particular epistemological posture, a constructivist one. The idea of the hybrid forum explicitly assumes the need for </w:t>
      </w:r>
      <w:r w:rsidRPr="00F273A2">
        <w:rPr>
          <w:rFonts w:ascii="Arial" w:eastAsia="Arial" w:hAnsi="Arial" w:cs="Arial"/>
          <w:i/>
        </w:rPr>
        <w:t>“transdisciplinary, transient and collaborative modes of inquiry that have a high degree of public participation when it comes to articulating relevant problems (...)”</w:t>
      </w:r>
      <w:r>
        <w:rPr>
          <w:rFonts w:ascii="Arial" w:eastAsia="Arial" w:hAnsi="Arial" w:cs="Arial"/>
        </w:rPr>
        <w:t xml:space="preserve"> (Leunbach and Nielsen 2019: 5).</w:t>
      </w:r>
    </w:p>
    <w:p w14:paraId="5C3FA20E" w14:textId="77777777" w:rsidR="009F00EC" w:rsidRDefault="009F00EC" w:rsidP="00151111">
      <w:pPr>
        <w:spacing w:before="120" w:after="120"/>
        <w:ind w:firstLine="708"/>
        <w:jc w:val="both"/>
        <w:rPr>
          <w:rFonts w:ascii="Arial" w:eastAsia="Arial" w:hAnsi="Arial" w:cs="Arial"/>
        </w:rPr>
      </w:pPr>
      <w:r>
        <w:rPr>
          <w:rFonts w:ascii="Arial" w:eastAsia="Arial" w:hAnsi="Arial" w:cs="Arial"/>
        </w:rPr>
        <w:lastRenderedPageBreak/>
        <w:t xml:space="preserve">Applying this to low carbon and labour transitions, WP4 members will focus on </w:t>
      </w:r>
      <w:r>
        <w:rPr>
          <w:rFonts w:ascii="Arial" w:eastAsia="Arial" w:hAnsi="Arial" w:cs="Arial"/>
          <w:b/>
        </w:rPr>
        <w:t>tensions, frictions and controversies</w:t>
      </w:r>
      <w:r>
        <w:rPr>
          <w:rFonts w:ascii="Arial" w:eastAsia="Arial" w:hAnsi="Arial" w:cs="Arial"/>
        </w:rPr>
        <w:t xml:space="preserve"> that could occur about the </w:t>
      </w:r>
      <w:r>
        <w:rPr>
          <w:rFonts w:ascii="Arial" w:eastAsia="Arial" w:hAnsi="Arial" w:cs="Arial"/>
          <w:b/>
        </w:rPr>
        <w:t xml:space="preserve">world actors wish to live in (and the particular undesirable endpoints) </w:t>
      </w:r>
      <w:r>
        <w:rPr>
          <w:rFonts w:ascii="Arial" w:eastAsia="Arial" w:hAnsi="Arial" w:cs="Arial"/>
        </w:rPr>
        <w:t xml:space="preserve">and </w:t>
      </w:r>
      <w:r>
        <w:rPr>
          <w:rFonts w:ascii="Arial" w:eastAsia="Arial" w:hAnsi="Arial" w:cs="Arial"/>
          <w:b/>
        </w:rPr>
        <w:t xml:space="preserve">how to reach </w:t>
      </w:r>
      <w:r w:rsidRPr="006B5E45">
        <w:rPr>
          <w:rFonts w:ascii="Arial" w:eastAsia="Arial" w:hAnsi="Arial" w:cs="Arial"/>
        </w:rPr>
        <w:t>particular endpoints that</w:t>
      </w:r>
      <w:r>
        <w:rPr>
          <w:rFonts w:ascii="Arial" w:eastAsia="Arial" w:hAnsi="Arial" w:cs="Arial"/>
          <w:b/>
        </w:rPr>
        <w:t xml:space="preserve"> </w:t>
      </w:r>
      <w:r>
        <w:rPr>
          <w:rFonts w:ascii="Arial" w:eastAsia="Arial" w:hAnsi="Arial" w:cs="Arial"/>
        </w:rPr>
        <w:t xml:space="preserve">they could agree on. It will therefore identify </w:t>
      </w:r>
      <w:r>
        <w:rPr>
          <w:rFonts w:ascii="Arial" w:eastAsia="Arial" w:hAnsi="Arial" w:cs="Arial"/>
          <w:b/>
        </w:rPr>
        <w:t>conditions</w:t>
      </w:r>
      <w:r>
        <w:rPr>
          <w:rFonts w:ascii="Arial" w:eastAsia="Arial" w:hAnsi="Arial" w:cs="Arial"/>
        </w:rPr>
        <w:t xml:space="preserve"> that allow or avoid particular transition pathways (sector per sector). One key issue in the LAMARTRA project (and the WP4) will be to constitute as soon as possible the </w:t>
      </w:r>
      <w:sdt>
        <w:sdtPr>
          <w:tag w:val="goog_rdk_8"/>
          <w:id w:val="-1661063828"/>
        </w:sdtPr>
        <w:sdtEndPr/>
        <w:sdtContent/>
      </w:sdt>
      <w:r>
        <w:rPr>
          <w:rFonts w:ascii="Arial" w:eastAsia="Arial" w:hAnsi="Arial" w:cs="Arial"/>
          <w:b/>
        </w:rPr>
        <w:t>“emergent concerned groups”</w:t>
      </w:r>
      <w:r>
        <w:rPr>
          <w:rFonts w:ascii="Arial" w:eastAsia="Arial" w:hAnsi="Arial" w:cs="Arial"/>
        </w:rPr>
        <w:t xml:space="preserve"> and to mobilise these periodically throughout the project (4-years). The empirical research will also consider particular different spaces (</w:t>
      </w:r>
      <w:r>
        <w:rPr>
          <w:rFonts w:ascii="Arial" w:eastAsia="Arial" w:hAnsi="Arial" w:cs="Arial"/>
          <w:b/>
        </w:rPr>
        <w:t>unanticipated events, institutionalized deliberation spaces</w:t>
      </w:r>
      <w:r>
        <w:rPr>
          <w:rFonts w:ascii="Arial" w:eastAsia="Arial" w:hAnsi="Arial" w:cs="Arial"/>
        </w:rPr>
        <w:t xml:space="preserve"> that WP4 researchers will create) where networks express their points of view.</w:t>
      </w:r>
    </w:p>
    <w:p w14:paraId="1038D16D" w14:textId="77777777" w:rsidR="009F00EC" w:rsidRPr="006B5E45" w:rsidRDefault="009F00EC" w:rsidP="00151111">
      <w:pPr>
        <w:spacing w:before="120" w:after="120"/>
        <w:jc w:val="both"/>
        <w:rPr>
          <w:rFonts w:ascii="Arial" w:eastAsia="Arial" w:hAnsi="Arial" w:cs="Arial"/>
          <w:b/>
        </w:rPr>
      </w:pPr>
      <w:r w:rsidRPr="006B5E45">
        <w:rPr>
          <w:rFonts w:ascii="Arial" w:eastAsia="Arial" w:hAnsi="Arial" w:cs="Arial"/>
          <w:b/>
        </w:rPr>
        <w:t>Practical criteria for setting up the hybrid forum</w:t>
      </w:r>
    </w:p>
    <w:p w14:paraId="6EC6EA02" w14:textId="77777777" w:rsidR="009F00EC" w:rsidRDefault="009F00EC" w:rsidP="009F00EC">
      <w:pPr>
        <w:numPr>
          <w:ilvl w:val="0"/>
          <w:numId w:val="2"/>
        </w:numPr>
        <w:spacing w:before="120" w:after="120"/>
        <w:ind w:left="0" w:firstLine="284"/>
        <w:jc w:val="both"/>
        <w:rPr>
          <w:rFonts w:ascii="Arial" w:eastAsia="Arial" w:hAnsi="Arial" w:cs="Arial"/>
        </w:rPr>
      </w:pPr>
      <w:r w:rsidRPr="006B5E45">
        <w:rPr>
          <w:rFonts w:ascii="Arial" w:eastAsia="Arial" w:hAnsi="Arial" w:cs="Arial"/>
          <w:b/>
        </w:rPr>
        <w:t>Official status</w:t>
      </w:r>
      <w:r>
        <w:rPr>
          <w:rFonts w:ascii="Arial" w:eastAsia="Arial" w:hAnsi="Arial" w:cs="Arial"/>
        </w:rPr>
        <w:t xml:space="preserve"> of the hybrid forum: The hybrid fora will be tied to the LAMARTRA project, and as such temporary. An important challenge for the empirical research will therefore be to explore how these networks/platforms could be institutionalised – to leave </w:t>
      </w:r>
      <w:proofErr w:type="gramStart"/>
      <w:r>
        <w:rPr>
          <w:rFonts w:ascii="Arial" w:eastAsia="Arial" w:hAnsi="Arial" w:cs="Arial"/>
        </w:rPr>
        <w:t>a</w:t>
      </w:r>
      <w:proofErr w:type="gramEnd"/>
      <w:r>
        <w:rPr>
          <w:rFonts w:ascii="Arial" w:eastAsia="Arial" w:hAnsi="Arial" w:cs="Arial"/>
        </w:rPr>
        <w:t xml:space="preserve"> legacy for policy-makers. A particular issue is whether this institutional anchorage should be at federal, regional, or local administrative level. </w:t>
      </w:r>
    </w:p>
    <w:p w14:paraId="600C3D65" w14:textId="77777777" w:rsidR="009F00EC" w:rsidRDefault="009F00EC" w:rsidP="009F00EC">
      <w:pPr>
        <w:numPr>
          <w:ilvl w:val="0"/>
          <w:numId w:val="2"/>
        </w:numPr>
        <w:spacing w:before="120" w:after="120"/>
        <w:ind w:left="0" w:firstLine="284"/>
        <w:jc w:val="both"/>
        <w:rPr>
          <w:rFonts w:ascii="Arial" w:eastAsia="Arial" w:hAnsi="Arial" w:cs="Arial"/>
        </w:rPr>
      </w:pPr>
      <w:r w:rsidRPr="001C2B8B">
        <w:rPr>
          <w:rFonts w:ascii="Arial" w:eastAsia="Arial" w:hAnsi="Arial" w:cs="Arial"/>
          <w:b/>
        </w:rPr>
        <w:t>Accessibility:</w:t>
      </w:r>
      <w:r>
        <w:rPr>
          <w:rFonts w:ascii="Arial" w:eastAsia="Arial" w:hAnsi="Arial" w:cs="Arial"/>
        </w:rPr>
        <w:t xml:space="preserve"> Participants are expected to be easily accessible and available to for several half days or days. The agriculture sector is particularly difficult to reach.</w:t>
      </w:r>
    </w:p>
    <w:p w14:paraId="509C3078" w14:textId="77777777" w:rsidR="009F00EC" w:rsidRDefault="009F00EC" w:rsidP="009F00EC">
      <w:pPr>
        <w:numPr>
          <w:ilvl w:val="0"/>
          <w:numId w:val="2"/>
        </w:numPr>
        <w:spacing w:before="120" w:after="120"/>
        <w:ind w:left="0" w:firstLine="284"/>
        <w:jc w:val="both"/>
        <w:rPr>
          <w:rFonts w:ascii="Arial" w:eastAsia="Arial" w:hAnsi="Arial" w:cs="Arial"/>
        </w:rPr>
      </w:pPr>
      <w:r>
        <w:rPr>
          <w:rFonts w:ascii="Arial" w:eastAsia="Arial" w:hAnsi="Arial" w:cs="Arial"/>
          <w:b/>
        </w:rPr>
        <w:t>Accessibility and</w:t>
      </w:r>
      <w:r>
        <w:rPr>
          <w:rFonts w:ascii="Arial" w:eastAsia="Arial" w:hAnsi="Arial" w:cs="Arial"/>
        </w:rPr>
        <w:t xml:space="preserve"> </w:t>
      </w:r>
      <w:r w:rsidRPr="001C2B8B">
        <w:rPr>
          <w:rFonts w:ascii="Arial" w:eastAsia="Arial" w:hAnsi="Arial" w:cs="Arial"/>
          <w:b/>
        </w:rPr>
        <w:t>language</w:t>
      </w:r>
      <w:r>
        <w:rPr>
          <w:rFonts w:ascii="Arial" w:eastAsia="Arial" w:hAnsi="Arial" w:cs="Arial"/>
        </w:rPr>
        <w:t xml:space="preserve">. Are the hybrid fora to be organized in </w:t>
      </w:r>
      <w:sdt>
        <w:sdtPr>
          <w:tag w:val="goog_rdk_10"/>
          <w:id w:val="691574688"/>
        </w:sdtPr>
        <w:sdtEndPr/>
        <w:sdtContent/>
      </w:sdt>
      <w:r>
        <w:rPr>
          <w:rFonts w:ascii="Arial" w:eastAsia="Arial" w:hAnsi="Arial" w:cs="Arial"/>
        </w:rPr>
        <w:t>English or in Dutch/French? The favoured principle of participation is that participants express themselves in their own language.</w:t>
      </w:r>
    </w:p>
    <w:p w14:paraId="12FC5133" w14:textId="77777777" w:rsidR="009F00EC" w:rsidRDefault="009F00EC" w:rsidP="009F00EC">
      <w:pPr>
        <w:numPr>
          <w:ilvl w:val="0"/>
          <w:numId w:val="2"/>
        </w:numPr>
        <w:spacing w:before="120" w:after="120"/>
        <w:ind w:left="0" w:firstLine="284"/>
        <w:jc w:val="both"/>
        <w:rPr>
          <w:rFonts w:ascii="Arial" w:eastAsia="Arial" w:hAnsi="Arial" w:cs="Arial"/>
        </w:rPr>
      </w:pPr>
      <w:r w:rsidRPr="001C2B8B">
        <w:rPr>
          <w:rFonts w:ascii="Arial" w:eastAsia="Arial" w:hAnsi="Arial" w:cs="Arial"/>
          <w:b/>
        </w:rPr>
        <w:t>Choice of venue:</w:t>
      </w:r>
      <w:r>
        <w:rPr>
          <w:rFonts w:ascii="Arial" w:eastAsia="Arial" w:hAnsi="Arial" w:cs="Arial"/>
        </w:rPr>
        <w:t xml:space="preserve"> Important practical issue is whether the venue for the hybrid forum should be always the same, or spread geographically over the Belgian territory. Researchers will explore the availability of symbolic locations.</w:t>
      </w:r>
    </w:p>
    <w:p w14:paraId="74C3D0B0" w14:textId="77777777" w:rsidR="009F00EC" w:rsidRPr="003860DA" w:rsidRDefault="009F00EC" w:rsidP="009F00EC">
      <w:pPr>
        <w:numPr>
          <w:ilvl w:val="0"/>
          <w:numId w:val="2"/>
        </w:numPr>
        <w:spacing w:before="120" w:after="120"/>
        <w:ind w:left="0" w:firstLine="284"/>
        <w:jc w:val="both"/>
        <w:rPr>
          <w:rFonts w:ascii="Arial" w:eastAsia="Arial" w:hAnsi="Arial" w:cs="Arial"/>
        </w:rPr>
      </w:pPr>
      <w:r w:rsidRPr="001C2B8B">
        <w:rPr>
          <w:rFonts w:ascii="Arial" w:eastAsia="Arial" w:hAnsi="Arial" w:cs="Arial"/>
          <w:b/>
        </w:rPr>
        <w:t>Effective participation</w:t>
      </w:r>
      <w:r>
        <w:rPr>
          <w:rFonts w:ascii="Arial" w:eastAsia="Arial" w:hAnsi="Arial" w:cs="Arial"/>
          <w:b/>
        </w:rPr>
        <w:t xml:space="preserve"> and involvement of practitioners</w:t>
      </w:r>
      <w:r w:rsidRPr="001C2B8B">
        <w:rPr>
          <w:rFonts w:ascii="Arial" w:eastAsia="Arial" w:hAnsi="Arial" w:cs="Arial"/>
          <w:b/>
        </w:rPr>
        <w:t>:</w:t>
      </w:r>
      <w:r>
        <w:rPr>
          <w:rFonts w:ascii="Arial" w:eastAsia="Arial" w:hAnsi="Arial" w:cs="Arial"/>
        </w:rPr>
        <w:t xml:space="preserve"> Participants in the hybrid fora </w:t>
      </w:r>
      <w:r w:rsidRPr="001C2B8B">
        <w:rPr>
          <w:rFonts w:ascii="Arial" w:hAnsi="Arial" w:cs="Arial"/>
        </w:rPr>
        <w:t xml:space="preserve">should </w:t>
      </w:r>
      <w:r>
        <w:rPr>
          <w:rFonts w:ascii="Arial" w:eastAsia="Arial" w:hAnsi="Arial" w:cs="Arial"/>
        </w:rPr>
        <w:t xml:space="preserve">see a clear interest in participating in the project (so there is a certain cost-benefit ratio associated with the promotion of the project and the time spent participating in the various workshops). Researchers should ensure that participants are selected who actually </w:t>
      </w:r>
      <w:r w:rsidRPr="001C2B8B">
        <w:rPr>
          <w:rFonts w:ascii="Arial" w:eastAsia="Arial" w:hAnsi="Arial" w:cs="Arial"/>
        </w:rPr>
        <w:t>have time to devote to the study.</w:t>
      </w:r>
      <w:r>
        <w:rPr>
          <w:rFonts w:ascii="Arial" w:eastAsia="Arial" w:hAnsi="Arial" w:cs="Arial"/>
        </w:rPr>
        <w:t xml:space="preserve"> Participation</w:t>
      </w:r>
      <w:r w:rsidRPr="001C2B8B">
        <w:rPr>
          <w:rFonts w:ascii="Arial" w:eastAsia="Arial" w:hAnsi="Arial" w:cs="Arial"/>
        </w:rPr>
        <w:t xml:space="preserve"> </w:t>
      </w:r>
      <w:r>
        <w:rPr>
          <w:rFonts w:ascii="Arial" w:eastAsia="Arial" w:hAnsi="Arial" w:cs="Arial"/>
        </w:rPr>
        <w:t xml:space="preserve">should be possible </w:t>
      </w:r>
      <w:r w:rsidRPr="001C2B8B">
        <w:rPr>
          <w:rFonts w:ascii="Arial" w:eastAsia="Arial" w:hAnsi="Arial" w:cs="Arial"/>
        </w:rPr>
        <w:t>in different formats (electronic, face-to-face).</w:t>
      </w:r>
      <w:r>
        <w:rPr>
          <w:rFonts w:ascii="Arial" w:eastAsia="Arial" w:hAnsi="Arial" w:cs="Arial"/>
        </w:rPr>
        <w:t xml:space="preserve"> A further important point for the recruitment of participants i</w:t>
      </w:r>
      <w:r w:rsidRPr="003860DA">
        <w:rPr>
          <w:rFonts w:ascii="Arial" w:eastAsia="Arial" w:hAnsi="Arial" w:cs="Arial"/>
        </w:rPr>
        <w:t xml:space="preserve">s the </w:t>
      </w:r>
      <w:r>
        <w:rPr>
          <w:rFonts w:ascii="Arial" w:eastAsia="Arial" w:hAnsi="Arial" w:cs="Arial"/>
        </w:rPr>
        <w:t xml:space="preserve">level of controversy in the </w:t>
      </w:r>
      <w:r w:rsidRPr="003860DA">
        <w:rPr>
          <w:rFonts w:ascii="Arial" w:eastAsia="Arial" w:hAnsi="Arial" w:cs="Arial"/>
        </w:rPr>
        <w:t>selected case</w:t>
      </w:r>
      <w:r>
        <w:rPr>
          <w:rFonts w:ascii="Arial" w:eastAsia="Arial" w:hAnsi="Arial" w:cs="Arial"/>
        </w:rPr>
        <w:t>s (Leunbach &amp; Nielsen 2020), and participants’</w:t>
      </w:r>
      <w:r w:rsidRPr="003860DA">
        <w:rPr>
          <w:rFonts w:ascii="Arial" w:eastAsia="Arial" w:hAnsi="Arial" w:cs="Arial"/>
        </w:rPr>
        <w:t xml:space="preserve"> </w:t>
      </w:r>
      <w:r>
        <w:rPr>
          <w:rFonts w:ascii="Arial" w:eastAsia="Arial" w:hAnsi="Arial" w:cs="Arial"/>
        </w:rPr>
        <w:t xml:space="preserve">ability </w:t>
      </w:r>
      <w:r w:rsidRPr="003860DA">
        <w:rPr>
          <w:rFonts w:ascii="Arial" w:eastAsia="Arial" w:hAnsi="Arial" w:cs="Arial"/>
        </w:rPr>
        <w:t xml:space="preserve">to speak </w:t>
      </w:r>
      <w:r>
        <w:rPr>
          <w:rFonts w:ascii="Arial" w:eastAsia="Arial" w:hAnsi="Arial" w:cs="Arial"/>
        </w:rPr>
        <w:t xml:space="preserve">freely. </w:t>
      </w:r>
    </w:p>
    <w:p w14:paraId="1729F4DD" w14:textId="77777777" w:rsidR="009F00EC" w:rsidRDefault="009F00EC" w:rsidP="009F00EC">
      <w:pPr>
        <w:numPr>
          <w:ilvl w:val="0"/>
          <w:numId w:val="2"/>
        </w:numPr>
        <w:spacing w:before="120" w:after="120"/>
        <w:ind w:left="0" w:firstLine="284"/>
        <w:jc w:val="both"/>
        <w:rPr>
          <w:rFonts w:ascii="Arial" w:eastAsia="Arial" w:hAnsi="Arial" w:cs="Arial"/>
        </w:rPr>
      </w:pPr>
      <w:r w:rsidRPr="003860DA">
        <w:rPr>
          <w:rFonts w:ascii="Arial" w:eastAsia="Arial" w:hAnsi="Arial" w:cs="Arial"/>
          <w:b/>
        </w:rPr>
        <w:t>Impact:</w:t>
      </w:r>
      <w:r>
        <w:rPr>
          <w:rFonts w:ascii="Arial" w:eastAsia="Arial" w:hAnsi="Arial" w:cs="Arial"/>
        </w:rPr>
        <w:t xml:space="preserve"> This is related the previous point about involvement: Policy-makers should have </w:t>
      </w:r>
      <w:proofErr w:type="gramStart"/>
      <w:r>
        <w:rPr>
          <w:rFonts w:ascii="Arial" w:eastAsia="Arial" w:hAnsi="Arial" w:cs="Arial"/>
        </w:rPr>
        <w:t>a</w:t>
      </w:r>
      <w:proofErr w:type="gramEnd"/>
      <w:r>
        <w:rPr>
          <w:rFonts w:ascii="Arial" w:eastAsia="Arial" w:hAnsi="Arial" w:cs="Arial"/>
        </w:rPr>
        <w:t xml:space="preserve"> declared interest in the chosen sectors/cases.</w:t>
      </w:r>
    </w:p>
    <w:p w14:paraId="3FA37EC1" w14:textId="77777777" w:rsidR="009F00EC" w:rsidRDefault="009F00EC" w:rsidP="009F00EC">
      <w:pPr>
        <w:spacing w:before="120" w:after="120"/>
        <w:jc w:val="both"/>
        <w:rPr>
          <w:rFonts w:ascii="Arial" w:eastAsia="Arial" w:hAnsi="Arial" w:cs="Arial"/>
          <w:b/>
          <w:i/>
        </w:rPr>
      </w:pPr>
    </w:p>
    <w:p w14:paraId="7E427BFD" w14:textId="77777777" w:rsidR="009F00EC" w:rsidRPr="006E3743" w:rsidRDefault="009F00EC" w:rsidP="009F00EC">
      <w:pPr>
        <w:spacing w:before="120" w:after="120"/>
        <w:jc w:val="both"/>
        <w:rPr>
          <w:rFonts w:ascii="Arial" w:eastAsia="Arial" w:hAnsi="Arial" w:cs="Arial"/>
          <w:b/>
        </w:rPr>
      </w:pPr>
      <w:r w:rsidRPr="006E3743">
        <w:rPr>
          <w:rFonts w:ascii="Arial" w:eastAsia="Arial" w:hAnsi="Arial" w:cs="Arial"/>
          <w:b/>
        </w:rPr>
        <w:t>Analytic</w:t>
      </w:r>
      <w:r>
        <w:rPr>
          <w:rFonts w:ascii="Arial" w:eastAsia="Arial" w:hAnsi="Arial" w:cs="Arial"/>
          <w:b/>
        </w:rPr>
        <w:t>al questions and research foci</w:t>
      </w:r>
    </w:p>
    <w:p w14:paraId="579B9CDC" w14:textId="77777777" w:rsidR="009F00EC" w:rsidRDefault="009F00EC" w:rsidP="009F00EC">
      <w:pPr>
        <w:spacing w:before="120" w:after="120"/>
        <w:jc w:val="both"/>
        <w:rPr>
          <w:rFonts w:ascii="Arial" w:eastAsia="Arial" w:hAnsi="Arial" w:cs="Arial"/>
        </w:rPr>
      </w:pPr>
    </w:p>
    <w:p w14:paraId="07DD78D2" w14:textId="77777777" w:rsidR="009F00EC" w:rsidRPr="00295A90" w:rsidRDefault="009F00EC" w:rsidP="009F00EC">
      <w:pPr>
        <w:numPr>
          <w:ilvl w:val="0"/>
          <w:numId w:val="4"/>
        </w:numPr>
        <w:spacing w:before="120" w:after="120"/>
        <w:ind w:left="0" w:firstLine="284"/>
        <w:jc w:val="both"/>
        <w:rPr>
          <w:rFonts w:ascii="Arial" w:eastAsia="Arial" w:hAnsi="Arial" w:cs="Arial"/>
        </w:rPr>
      </w:pPr>
      <w:r w:rsidRPr="006E3743">
        <w:rPr>
          <w:rFonts w:ascii="Arial" w:eastAsia="Arial" w:hAnsi="Arial" w:cs="Arial"/>
          <w:b/>
        </w:rPr>
        <w:t>Visions:</w:t>
      </w:r>
      <w:r>
        <w:rPr>
          <w:rFonts w:ascii="Arial" w:eastAsia="Arial" w:hAnsi="Arial" w:cs="Arial"/>
        </w:rPr>
        <w:t xml:space="preserve"> </w:t>
      </w:r>
      <w:r w:rsidRPr="00295A90">
        <w:rPr>
          <w:rFonts w:ascii="Arial" w:eastAsia="Arial" w:hAnsi="Arial" w:cs="Arial"/>
          <w:i/>
        </w:rPr>
        <w:t>What are the wo</w:t>
      </w:r>
      <w:r>
        <w:rPr>
          <w:rFonts w:ascii="Arial" w:eastAsia="Arial" w:hAnsi="Arial" w:cs="Arial"/>
          <w:i/>
        </w:rPr>
        <w:t>rlds the actors wish to live in,</w:t>
      </w:r>
      <w:r>
        <w:rPr>
          <w:rFonts w:ascii="Arial" w:eastAsia="Arial" w:hAnsi="Arial" w:cs="Arial"/>
        </w:rPr>
        <w:t xml:space="preserve"> </w:t>
      </w:r>
      <w:r w:rsidRPr="00295A90">
        <w:rPr>
          <w:rFonts w:ascii="Arial" w:eastAsia="Arial" w:hAnsi="Arial" w:cs="Arial"/>
          <w:i/>
        </w:rPr>
        <w:t xml:space="preserve">and the worlds they refuse? </w:t>
      </w:r>
      <w:r>
        <w:rPr>
          <w:rFonts w:ascii="Arial" w:eastAsia="Arial" w:hAnsi="Arial" w:cs="Arial"/>
        </w:rPr>
        <w:t xml:space="preserve">(Jasanoff &amp; Kim 2009, 2015). </w:t>
      </w:r>
      <w:r w:rsidRPr="00295A90">
        <w:rPr>
          <w:rFonts w:ascii="Arial" w:eastAsia="Arial" w:hAnsi="Arial" w:cs="Arial"/>
          <w:i/>
        </w:rPr>
        <w:t>What are the issues at stake?</w:t>
      </w:r>
      <w:r>
        <w:rPr>
          <w:rFonts w:ascii="Arial" w:eastAsia="Arial" w:hAnsi="Arial" w:cs="Arial"/>
        </w:rPr>
        <w:t xml:space="preserve"> (Leunbach &amp; Nielsen 2019). </w:t>
      </w:r>
      <w:r w:rsidRPr="00295A90">
        <w:rPr>
          <w:rFonts w:ascii="Arial" w:eastAsia="Arial" w:hAnsi="Arial" w:cs="Arial"/>
          <w:i/>
        </w:rPr>
        <w:t>What are the fictional expectations of the actors</w:t>
      </w:r>
      <w:r>
        <w:rPr>
          <w:rFonts w:ascii="Arial" w:eastAsia="Arial" w:hAnsi="Arial" w:cs="Arial"/>
        </w:rPr>
        <w:t xml:space="preserve"> (Beckert 2014)? </w:t>
      </w:r>
      <w:r w:rsidRPr="00295A90">
        <w:rPr>
          <w:rFonts w:ascii="Arial" w:eastAsia="Arial" w:hAnsi="Arial" w:cs="Arial"/>
          <w:i/>
        </w:rPr>
        <w:t>What are the sociotechnical path dependencies?</w:t>
      </w:r>
      <w:r w:rsidRPr="00295A90">
        <w:rPr>
          <w:rFonts w:ascii="Arial" w:eastAsia="Arial" w:hAnsi="Arial" w:cs="Arial"/>
        </w:rPr>
        <w:t xml:space="preserve"> </w:t>
      </w:r>
    </w:p>
    <w:p w14:paraId="5670BC0C" w14:textId="77777777" w:rsidR="009F00EC" w:rsidRDefault="009F00EC" w:rsidP="009F00EC">
      <w:pPr>
        <w:numPr>
          <w:ilvl w:val="0"/>
          <w:numId w:val="4"/>
        </w:numPr>
        <w:spacing w:before="120" w:after="120"/>
        <w:ind w:left="0" w:firstLine="284"/>
        <w:jc w:val="both"/>
        <w:rPr>
          <w:rFonts w:ascii="Arial" w:eastAsia="Arial" w:hAnsi="Arial" w:cs="Arial"/>
        </w:rPr>
      </w:pPr>
      <w:r w:rsidRPr="00295A90">
        <w:rPr>
          <w:rFonts w:ascii="Arial" w:eastAsia="Arial" w:hAnsi="Arial" w:cs="Arial"/>
          <w:b/>
        </w:rPr>
        <w:t>Means:</w:t>
      </w:r>
      <w:r>
        <w:rPr>
          <w:rFonts w:ascii="Arial" w:eastAsia="Arial" w:hAnsi="Arial" w:cs="Arial"/>
        </w:rPr>
        <w:t xml:space="preserve"> </w:t>
      </w:r>
      <w:r w:rsidRPr="00295A90">
        <w:rPr>
          <w:rFonts w:ascii="Arial" w:eastAsia="Arial" w:hAnsi="Arial" w:cs="Arial"/>
          <w:i/>
        </w:rPr>
        <w:t>What are the means used by the actors to support and put on the agenda particular discourses or practices?</w:t>
      </w:r>
    </w:p>
    <w:p w14:paraId="3DEAF532" w14:textId="77777777" w:rsidR="009F00EC" w:rsidRDefault="009F00EC" w:rsidP="009F00EC">
      <w:pPr>
        <w:numPr>
          <w:ilvl w:val="0"/>
          <w:numId w:val="4"/>
        </w:numPr>
        <w:spacing w:before="120" w:after="120"/>
        <w:ind w:left="0" w:firstLine="284"/>
        <w:jc w:val="both"/>
        <w:rPr>
          <w:rFonts w:ascii="Arial" w:eastAsia="Arial" w:hAnsi="Arial" w:cs="Arial"/>
        </w:rPr>
      </w:pPr>
      <w:r w:rsidRPr="00295A90">
        <w:rPr>
          <w:rFonts w:ascii="Arial" w:eastAsia="Arial" w:hAnsi="Arial" w:cs="Arial"/>
          <w:b/>
        </w:rPr>
        <w:lastRenderedPageBreak/>
        <w:t>Value chain:</w:t>
      </w:r>
      <w:r>
        <w:rPr>
          <w:rFonts w:ascii="Arial" w:eastAsia="Arial" w:hAnsi="Arial" w:cs="Arial"/>
        </w:rPr>
        <w:t xml:space="preserve"> </w:t>
      </w:r>
      <w:r w:rsidRPr="00295A90">
        <w:rPr>
          <w:rFonts w:ascii="Arial" w:eastAsia="Arial" w:hAnsi="Arial" w:cs="Arial"/>
          <w:i/>
        </w:rPr>
        <w:t>What is the value chain proposed by the actors? For example, what is the political value of a project? How can the project be promoted to other actors who do not share the same vision?</w:t>
      </w:r>
      <w:r>
        <w:rPr>
          <w:rFonts w:ascii="Arial" w:eastAsia="Arial" w:hAnsi="Arial" w:cs="Arial"/>
        </w:rPr>
        <w:t xml:space="preserve"> (Heinich 2020)</w:t>
      </w:r>
    </w:p>
    <w:p w14:paraId="79CD5B06" w14:textId="77777777" w:rsidR="009F00EC" w:rsidRPr="00295A90" w:rsidRDefault="009F00EC" w:rsidP="009F00EC">
      <w:pPr>
        <w:numPr>
          <w:ilvl w:val="0"/>
          <w:numId w:val="4"/>
        </w:numPr>
        <w:spacing w:before="120" w:after="120"/>
        <w:ind w:left="0" w:firstLine="284"/>
        <w:jc w:val="both"/>
        <w:rPr>
          <w:rFonts w:ascii="Arial" w:eastAsia="Arial" w:hAnsi="Arial" w:cs="Arial"/>
        </w:rPr>
      </w:pPr>
      <w:r w:rsidRPr="00295A90">
        <w:rPr>
          <w:rFonts w:ascii="Arial" w:eastAsia="Arial" w:hAnsi="Arial" w:cs="Arial"/>
          <w:b/>
        </w:rPr>
        <w:t>Pathways:</w:t>
      </w:r>
      <w:r>
        <w:rPr>
          <w:rFonts w:ascii="Arial" w:eastAsia="Arial" w:hAnsi="Arial" w:cs="Arial"/>
        </w:rPr>
        <w:t xml:space="preserve"> What configuration of values (economic, political, symbolic, social, industrial) emerges from a </w:t>
      </w:r>
      <w:r w:rsidRPr="00295A90">
        <w:rPr>
          <w:rFonts w:ascii="Arial" w:eastAsia="Arial" w:hAnsi="Arial" w:cs="Arial"/>
        </w:rPr>
        <w:t>particular pathway?</w:t>
      </w:r>
    </w:p>
    <w:p w14:paraId="5629E98B" w14:textId="77777777" w:rsidR="009F00EC" w:rsidRDefault="00636AA3" w:rsidP="009F00EC">
      <w:pPr>
        <w:numPr>
          <w:ilvl w:val="0"/>
          <w:numId w:val="4"/>
        </w:numPr>
        <w:spacing w:before="120" w:after="120"/>
        <w:ind w:left="0" w:firstLine="284"/>
        <w:jc w:val="both"/>
        <w:rPr>
          <w:rFonts w:ascii="Arial" w:eastAsia="Arial" w:hAnsi="Arial" w:cs="Arial"/>
        </w:rPr>
      </w:pPr>
      <w:sdt>
        <w:sdtPr>
          <w:tag w:val="goog_rdk_15"/>
          <w:id w:val="618181792"/>
        </w:sdtPr>
        <w:sdtEndPr/>
        <w:sdtContent/>
      </w:sdt>
      <w:r w:rsidR="009F00EC" w:rsidRPr="00295A90">
        <w:rPr>
          <w:rFonts w:ascii="Arial" w:eastAsia="Arial" w:hAnsi="Arial" w:cs="Arial"/>
          <w:b/>
        </w:rPr>
        <w:t>Contrasted Temporalities:</w:t>
      </w:r>
      <w:r w:rsidR="009F00EC">
        <w:rPr>
          <w:rFonts w:ascii="Arial" w:eastAsia="Arial" w:hAnsi="Arial" w:cs="Arial"/>
        </w:rPr>
        <w:t xml:space="preserve"> </w:t>
      </w:r>
      <w:r w:rsidR="009F00EC" w:rsidRPr="00295A90">
        <w:rPr>
          <w:rFonts w:ascii="Arial" w:eastAsia="Arial" w:hAnsi="Arial" w:cs="Arial"/>
          <w:i/>
        </w:rPr>
        <w:t xml:space="preserve">What temporalities do the actors propose to consider for these transitions? Why do these temporalities come into tension? What temporalities do the actors hold dear? </w:t>
      </w:r>
      <w:r w:rsidR="009F00EC">
        <w:rPr>
          <w:rFonts w:ascii="Arial" w:eastAsia="Arial" w:hAnsi="Arial" w:cs="Arial"/>
        </w:rPr>
        <w:t xml:space="preserve">(For example, </w:t>
      </w:r>
      <w:proofErr w:type="gramStart"/>
      <w:r w:rsidR="009F00EC">
        <w:rPr>
          <w:rFonts w:ascii="Arial" w:eastAsia="Arial" w:hAnsi="Arial" w:cs="Arial"/>
        </w:rPr>
        <w:t>a</w:t>
      </w:r>
      <w:proofErr w:type="gramEnd"/>
      <w:r w:rsidR="009F00EC">
        <w:rPr>
          <w:rFonts w:ascii="Arial" w:eastAsia="Arial" w:hAnsi="Arial" w:cs="Arial"/>
        </w:rPr>
        <w:t xml:space="preserve"> glorious past, a plausible future, desired or undesirable futures) (Adam 2008).</w:t>
      </w:r>
    </w:p>
    <w:p w14:paraId="20F156C9" w14:textId="77777777" w:rsidR="009F00EC" w:rsidRDefault="009F00EC" w:rsidP="009F00EC">
      <w:pPr>
        <w:numPr>
          <w:ilvl w:val="0"/>
          <w:numId w:val="4"/>
        </w:numPr>
        <w:spacing w:before="120" w:after="120"/>
        <w:ind w:left="0" w:firstLine="284"/>
        <w:jc w:val="both"/>
        <w:rPr>
          <w:rFonts w:ascii="Arial" w:eastAsia="Arial" w:hAnsi="Arial" w:cs="Arial"/>
        </w:rPr>
      </w:pPr>
      <w:r w:rsidRPr="00295A90">
        <w:rPr>
          <w:rFonts w:ascii="Arial" w:eastAsia="Arial" w:hAnsi="Arial" w:cs="Arial"/>
          <w:b/>
        </w:rPr>
        <w:t>Changing actor identities:</w:t>
      </w:r>
      <w:r>
        <w:rPr>
          <w:rFonts w:ascii="Arial" w:eastAsia="Arial" w:hAnsi="Arial" w:cs="Arial"/>
        </w:rPr>
        <w:t xml:space="preserve"> Through the hybrid forum, engaged actors are socio-active, their identities can evolve with controversies or through the discussion (Leunbach &amp; Nielsen 2019).</w:t>
      </w:r>
    </w:p>
    <w:p w14:paraId="659B15F7" w14:textId="77777777" w:rsidR="009F00EC" w:rsidRDefault="009F00EC" w:rsidP="009F00EC">
      <w:pPr>
        <w:numPr>
          <w:ilvl w:val="0"/>
          <w:numId w:val="4"/>
        </w:numPr>
        <w:spacing w:before="120" w:after="120"/>
        <w:ind w:left="0" w:firstLine="284"/>
        <w:jc w:val="both"/>
        <w:rPr>
          <w:rFonts w:ascii="Arial" w:eastAsia="Arial" w:hAnsi="Arial" w:cs="Arial"/>
        </w:rPr>
      </w:pPr>
      <w:r w:rsidRPr="00295A90">
        <w:rPr>
          <w:rFonts w:ascii="Arial" w:eastAsia="Arial" w:hAnsi="Arial" w:cs="Arial"/>
          <w:b/>
        </w:rPr>
        <w:t>Materialities:</w:t>
      </w:r>
      <w:r>
        <w:rPr>
          <w:rFonts w:ascii="Arial" w:eastAsia="Arial" w:hAnsi="Arial" w:cs="Arial"/>
        </w:rPr>
        <w:t xml:space="preserve"> How do the </w:t>
      </w:r>
      <w:r w:rsidRPr="00295A90">
        <w:rPr>
          <w:rFonts w:ascii="Arial" w:eastAsia="Arial" w:hAnsi="Arial" w:cs="Arial"/>
        </w:rPr>
        <w:t xml:space="preserve">infrastructures </w:t>
      </w:r>
      <w:r>
        <w:rPr>
          <w:rFonts w:ascii="Arial" w:eastAsia="Arial" w:hAnsi="Arial" w:cs="Arial"/>
        </w:rPr>
        <w:t>of these different sectors resist, change, or disappear in the face of these different transitions? (Bridge et al. 2018)</w:t>
      </w:r>
    </w:p>
    <w:p w14:paraId="09A6805F" w14:textId="77777777" w:rsidR="009F00EC" w:rsidRDefault="009F00EC" w:rsidP="009F00EC">
      <w:pPr>
        <w:spacing w:before="120" w:after="120"/>
        <w:rPr>
          <w:rFonts w:ascii="Arial" w:eastAsia="Arial" w:hAnsi="Arial" w:cs="Arial"/>
        </w:rPr>
      </w:pPr>
    </w:p>
    <w:p w14:paraId="5397759B" w14:textId="1929065E" w:rsidR="009F00EC" w:rsidRDefault="009F00EC" w:rsidP="009F00EC">
      <w:pPr>
        <w:pStyle w:val="LAMARTRAHeading2"/>
        <w:rPr>
          <w:rFonts w:eastAsia="Hind"/>
        </w:rPr>
      </w:pPr>
      <w:bookmarkStart w:id="10" w:name="_Toc101099962"/>
      <w:r>
        <w:t>3.4</w:t>
      </w:r>
      <w:r>
        <w:tab/>
      </w:r>
      <w:r w:rsidRPr="009F00EC">
        <w:t xml:space="preserve">Engaging with transition politics at </w:t>
      </w:r>
      <w:r w:rsidR="005B1D30">
        <w:t xml:space="preserve">the </w:t>
      </w:r>
      <w:r w:rsidRPr="009F00EC">
        <w:t>workplace</w:t>
      </w:r>
      <w:r w:rsidR="005B1D30">
        <w:t xml:space="preserve"> (WP5)</w:t>
      </w:r>
      <w:bookmarkEnd w:id="10"/>
    </w:p>
    <w:p w14:paraId="7487A4E1" w14:textId="77777777" w:rsidR="009F00EC" w:rsidRDefault="009F00EC" w:rsidP="00151111">
      <w:pPr>
        <w:spacing w:before="120" w:after="120"/>
        <w:ind w:firstLine="708"/>
        <w:jc w:val="both"/>
        <w:rPr>
          <w:rFonts w:ascii="Arial" w:eastAsia="Arial" w:hAnsi="Arial" w:cs="Arial"/>
        </w:rPr>
      </w:pPr>
      <w:r>
        <w:rPr>
          <w:rFonts w:ascii="Arial" w:eastAsia="Arial" w:hAnsi="Arial" w:cs="Arial"/>
        </w:rPr>
        <w:t xml:space="preserve">This WP and stream of empirical investigations starts only in the course of year 2. The cases will be on the micro-level of the firm, i.e. smaller units of analysis embedded in certain sectors of the economy. </w:t>
      </w:r>
    </w:p>
    <w:p w14:paraId="12CD4952" w14:textId="65379152" w:rsidR="009F00EC" w:rsidRDefault="009F00EC" w:rsidP="00151111">
      <w:pPr>
        <w:spacing w:before="120" w:after="120"/>
        <w:ind w:firstLine="284"/>
        <w:jc w:val="both"/>
        <w:rPr>
          <w:rFonts w:ascii="Arial" w:eastAsia="Arial" w:hAnsi="Arial" w:cs="Arial"/>
        </w:rPr>
      </w:pPr>
      <w:r>
        <w:rPr>
          <w:rFonts w:ascii="Arial" w:eastAsia="Arial" w:hAnsi="Arial" w:cs="Arial"/>
        </w:rPr>
        <w:t xml:space="preserve">The in-depth case studies will conduct ethnographic, participatory observations of 4 firms, selected along a “best in class” rationale (critical cases) in the 4 industries selected for this </w:t>
      </w:r>
      <w:bookmarkStart w:id="11" w:name="_GoBack"/>
      <w:bookmarkEnd w:id="11"/>
      <w:r>
        <w:rPr>
          <w:rFonts w:ascii="Arial" w:eastAsia="Arial" w:hAnsi="Arial" w:cs="Arial"/>
        </w:rPr>
        <w:t xml:space="preserve">project in WP2. These critical cases will be examples where the interests of workers, and of the environment appear to be reconciled in innovative ways. The WP will generate a better understanding of the determinants of the ‘bridging of two transitions’ at the </w:t>
      </w:r>
      <w:r w:rsidR="00636AA3">
        <w:rPr>
          <w:rFonts w:ascii="Arial" w:eastAsia="Arial" w:hAnsi="Arial" w:cs="Arial"/>
        </w:rPr>
        <w:t>micro-</w:t>
      </w:r>
      <w:r>
        <w:rPr>
          <w:rFonts w:ascii="Arial" w:eastAsia="Arial" w:hAnsi="Arial" w:cs="Arial"/>
        </w:rPr>
        <w:t>organizational, firm-level: characteristics related to:</w:t>
      </w:r>
    </w:p>
    <w:p w14:paraId="688292BF" w14:textId="77777777" w:rsidR="009F00EC" w:rsidRPr="002B2B4D" w:rsidRDefault="009F00EC" w:rsidP="009F00EC">
      <w:pPr>
        <w:pStyle w:val="ListParagraph"/>
        <w:numPr>
          <w:ilvl w:val="0"/>
          <w:numId w:val="13"/>
        </w:numPr>
        <w:spacing w:before="120" w:after="120"/>
        <w:ind w:left="0" w:firstLine="284"/>
        <w:contextualSpacing w:val="0"/>
        <w:jc w:val="both"/>
        <w:rPr>
          <w:rFonts w:ascii="Arial" w:eastAsia="Arial" w:hAnsi="Arial" w:cs="Arial"/>
        </w:rPr>
      </w:pPr>
      <w:r>
        <w:rPr>
          <w:rFonts w:ascii="Arial" w:eastAsia="Arial" w:hAnsi="Arial" w:cs="Arial"/>
        </w:rPr>
        <w:t>workers participation;</w:t>
      </w:r>
      <w:r w:rsidRPr="002B2B4D">
        <w:rPr>
          <w:rFonts w:ascii="Arial" w:eastAsia="Arial" w:hAnsi="Arial" w:cs="Arial"/>
        </w:rPr>
        <w:t xml:space="preserve"> </w:t>
      </w:r>
    </w:p>
    <w:p w14:paraId="74449FEC" w14:textId="77777777" w:rsidR="009F00EC" w:rsidRPr="002B2B4D" w:rsidRDefault="009F00EC" w:rsidP="009F00EC">
      <w:pPr>
        <w:pStyle w:val="ListParagraph"/>
        <w:numPr>
          <w:ilvl w:val="0"/>
          <w:numId w:val="13"/>
        </w:numPr>
        <w:spacing w:before="120" w:after="120"/>
        <w:ind w:left="0" w:firstLine="284"/>
        <w:contextualSpacing w:val="0"/>
        <w:jc w:val="both"/>
        <w:rPr>
          <w:rFonts w:ascii="Arial" w:eastAsia="Arial" w:hAnsi="Arial" w:cs="Arial"/>
        </w:rPr>
      </w:pPr>
      <w:r w:rsidRPr="002B2B4D">
        <w:rPr>
          <w:rFonts w:ascii="Arial" w:eastAsia="Arial" w:hAnsi="Arial" w:cs="Arial"/>
        </w:rPr>
        <w:t>presence and attitudes</w:t>
      </w:r>
      <w:r>
        <w:rPr>
          <w:rFonts w:ascii="Arial" w:eastAsia="Arial" w:hAnsi="Arial" w:cs="Arial"/>
        </w:rPr>
        <w:t xml:space="preserve"> of trade union representatives;</w:t>
      </w:r>
      <w:r w:rsidRPr="002B2B4D">
        <w:rPr>
          <w:rFonts w:ascii="Arial" w:eastAsia="Arial" w:hAnsi="Arial" w:cs="Arial"/>
        </w:rPr>
        <w:t xml:space="preserve"> </w:t>
      </w:r>
    </w:p>
    <w:p w14:paraId="07B80837" w14:textId="77777777" w:rsidR="009F00EC" w:rsidRPr="002B2B4D" w:rsidRDefault="009F00EC" w:rsidP="009F00EC">
      <w:pPr>
        <w:pStyle w:val="ListParagraph"/>
        <w:numPr>
          <w:ilvl w:val="0"/>
          <w:numId w:val="13"/>
        </w:numPr>
        <w:spacing w:before="120" w:after="120"/>
        <w:ind w:left="0" w:firstLine="284"/>
        <w:contextualSpacing w:val="0"/>
        <w:jc w:val="both"/>
        <w:rPr>
          <w:rFonts w:ascii="Arial" w:eastAsia="Arial" w:hAnsi="Arial" w:cs="Arial"/>
        </w:rPr>
      </w:pPr>
      <w:proofErr w:type="gramStart"/>
      <w:r w:rsidRPr="002B2B4D">
        <w:rPr>
          <w:rFonts w:ascii="Arial" w:eastAsia="Arial" w:hAnsi="Arial" w:cs="Arial"/>
        </w:rPr>
        <w:t>possibly</w:t>
      </w:r>
      <w:proofErr w:type="gramEnd"/>
      <w:r w:rsidRPr="002B2B4D">
        <w:rPr>
          <w:rFonts w:ascii="Arial" w:eastAsia="Arial" w:hAnsi="Arial" w:cs="Arial"/>
        </w:rPr>
        <w:t xml:space="preserve"> other organizations involved in defending the interests of workers (including State policies), and in particular the fate of the most vulnerable ones. </w:t>
      </w:r>
    </w:p>
    <w:p w14:paraId="3A1FD39D" w14:textId="77777777" w:rsidR="009F00EC" w:rsidRDefault="009F00EC" w:rsidP="009F00EC">
      <w:pPr>
        <w:spacing w:before="120" w:after="120"/>
        <w:rPr>
          <w:rFonts w:ascii="Arial" w:eastAsia="Arial" w:hAnsi="Arial" w:cs="Arial"/>
          <w:color w:val="000000"/>
          <w:highlight w:val="white"/>
        </w:rPr>
      </w:pPr>
    </w:p>
    <w:p w14:paraId="7205F943" w14:textId="77777777" w:rsidR="009F00EC" w:rsidRDefault="009F00EC" w:rsidP="009F00EC">
      <w:pPr>
        <w:rPr>
          <w:rFonts w:ascii="Hind" w:eastAsia="Hind" w:hAnsi="Hind" w:cs="Hind"/>
          <w:b/>
          <w:color w:val="115868"/>
          <w:sz w:val="32"/>
          <w:szCs w:val="32"/>
        </w:rPr>
      </w:pPr>
      <w:r>
        <w:br w:type="page"/>
      </w:r>
    </w:p>
    <w:p w14:paraId="6A386743" w14:textId="17145069" w:rsidR="009F00EC" w:rsidRDefault="009F00EC" w:rsidP="003D45CC">
      <w:pPr>
        <w:pStyle w:val="LAMARTRAHeading1"/>
        <w:rPr>
          <w:rFonts w:eastAsia="Hind"/>
        </w:rPr>
      </w:pPr>
      <w:bookmarkStart w:id="12" w:name="_Toc101099963"/>
      <w:r>
        <w:rPr>
          <w:rFonts w:eastAsia="Hind"/>
        </w:rPr>
        <w:lastRenderedPageBreak/>
        <w:t>4</w:t>
      </w:r>
      <w:r>
        <w:rPr>
          <w:rFonts w:eastAsia="Hind"/>
        </w:rPr>
        <w:tab/>
        <w:t xml:space="preserve">Conclusion: Four </w:t>
      </w:r>
      <w:r w:rsidR="00A74BF6">
        <w:rPr>
          <w:rFonts w:eastAsia="Hind"/>
        </w:rPr>
        <w:t>‘</w:t>
      </w:r>
      <w:r>
        <w:rPr>
          <w:rFonts w:eastAsia="Hind"/>
        </w:rPr>
        <w:t>salient sectors</w:t>
      </w:r>
      <w:r w:rsidR="00A74BF6">
        <w:rPr>
          <w:rFonts w:eastAsia="Hind"/>
        </w:rPr>
        <w:t>’</w:t>
      </w:r>
      <w:r w:rsidR="003D45CC">
        <w:rPr>
          <w:rFonts w:eastAsia="Hind"/>
        </w:rPr>
        <w:t>, a framework</w:t>
      </w:r>
      <w:bookmarkEnd w:id="12"/>
    </w:p>
    <w:p w14:paraId="10DE7326" w14:textId="608158EA" w:rsidR="009F00EC" w:rsidRDefault="003C0A9D" w:rsidP="00151111">
      <w:pPr>
        <w:spacing w:before="120" w:after="120"/>
        <w:ind w:firstLine="708"/>
        <w:jc w:val="both"/>
        <w:rPr>
          <w:rFonts w:ascii="Arial" w:eastAsia="Arial" w:hAnsi="Arial" w:cs="Arial"/>
          <w:color w:val="000000"/>
          <w:highlight w:val="white"/>
        </w:rPr>
      </w:pPr>
      <w:r>
        <w:rPr>
          <w:rFonts w:ascii="Arial" w:eastAsia="Arial" w:hAnsi="Arial" w:cs="Arial"/>
          <w:color w:val="000000"/>
          <w:highlight w:val="white"/>
        </w:rPr>
        <w:t xml:space="preserve">The general </w:t>
      </w:r>
      <w:r w:rsidRPr="003C0A9D">
        <w:rPr>
          <w:rFonts w:ascii="Arial" w:eastAsia="Arial" w:hAnsi="Arial" w:cs="Arial"/>
          <w:b/>
          <w:color w:val="000000"/>
          <w:highlight w:val="white"/>
        </w:rPr>
        <w:t>(Chapter 2)</w:t>
      </w:r>
      <w:r>
        <w:rPr>
          <w:rFonts w:ascii="Arial" w:eastAsia="Arial" w:hAnsi="Arial" w:cs="Arial"/>
          <w:color w:val="000000"/>
          <w:highlight w:val="white"/>
        </w:rPr>
        <w:t xml:space="preserve"> and work package-specific </w:t>
      </w:r>
      <w:r w:rsidRPr="003C0A9D">
        <w:rPr>
          <w:rFonts w:ascii="Arial" w:eastAsia="Arial" w:hAnsi="Arial" w:cs="Arial"/>
          <w:b/>
          <w:color w:val="000000"/>
          <w:highlight w:val="white"/>
        </w:rPr>
        <w:t>(Chapter 3)</w:t>
      </w:r>
      <w:r>
        <w:rPr>
          <w:rFonts w:ascii="Arial" w:eastAsia="Arial" w:hAnsi="Arial" w:cs="Arial"/>
          <w:color w:val="000000"/>
          <w:highlight w:val="white"/>
        </w:rPr>
        <w:t xml:space="preserve"> considerations are summarized in </w:t>
      </w:r>
      <w:proofErr w:type="gramStart"/>
      <w:r>
        <w:rPr>
          <w:rFonts w:ascii="Arial" w:eastAsia="Arial" w:hAnsi="Arial" w:cs="Arial"/>
          <w:color w:val="000000"/>
          <w:highlight w:val="white"/>
        </w:rPr>
        <w:t>a</w:t>
      </w:r>
      <w:proofErr w:type="gramEnd"/>
      <w:r>
        <w:rPr>
          <w:rFonts w:ascii="Arial" w:eastAsia="Arial" w:hAnsi="Arial" w:cs="Arial"/>
          <w:color w:val="000000"/>
          <w:highlight w:val="white"/>
        </w:rPr>
        <w:t xml:space="preserve"> framework for empirical case research </w:t>
      </w:r>
      <w:r w:rsidRPr="003C0A9D">
        <w:rPr>
          <w:rFonts w:ascii="Arial" w:eastAsia="Arial" w:hAnsi="Arial" w:cs="Arial"/>
          <w:b/>
          <w:color w:val="000000"/>
          <w:highlight w:val="white"/>
        </w:rPr>
        <w:t>(section 4.1)</w:t>
      </w:r>
      <w:r>
        <w:rPr>
          <w:rFonts w:ascii="Arial" w:eastAsia="Arial" w:hAnsi="Arial" w:cs="Arial"/>
          <w:color w:val="000000"/>
          <w:highlight w:val="white"/>
        </w:rPr>
        <w:t xml:space="preserve">. In the conclusion we indicate next steps in LAMARTRA research </w:t>
      </w:r>
      <w:r w:rsidRPr="003C0A9D">
        <w:rPr>
          <w:rFonts w:ascii="Arial" w:eastAsia="Arial" w:hAnsi="Arial" w:cs="Arial"/>
          <w:b/>
          <w:color w:val="000000"/>
          <w:highlight w:val="white"/>
        </w:rPr>
        <w:t>(section 4.2)</w:t>
      </w:r>
      <w:r>
        <w:rPr>
          <w:rFonts w:ascii="Arial" w:eastAsia="Arial" w:hAnsi="Arial" w:cs="Arial"/>
          <w:color w:val="000000"/>
          <w:highlight w:val="white"/>
        </w:rPr>
        <w:t>.</w:t>
      </w:r>
    </w:p>
    <w:p w14:paraId="40F42B4E" w14:textId="77777777" w:rsidR="009F00EC" w:rsidRDefault="009F00EC" w:rsidP="009F00EC">
      <w:pPr>
        <w:spacing w:before="120" w:after="120"/>
        <w:jc w:val="both"/>
        <w:rPr>
          <w:rFonts w:ascii="Arial" w:eastAsia="Arial" w:hAnsi="Arial" w:cs="Arial"/>
          <w:color w:val="000000"/>
          <w:highlight w:val="white"/>
        </w:rPr>
      </w:pPr>
    </w:p>
    <w:bookmarkStart w:id="13" w:name="_Toc101099964"/>
    <w:p w14:paraId="722E3982" w14:textId="448E790D" w:rsidR="009F00EC" w:rsidRDefault="00636AA3" w:rsidP="009F00EC">
      <w:pPr>
        <w:pStyle w:val="LAMARTRAHeading2"/>
        <w:rPr>
          <w:rFonts w:eastAsia="Hind"/>
        </w:rPr>
      </w:pPr>
      <w:sdt>
        <w:sdtPr>
          <w:tag w:val="goog_rdk_16"/>
          <w:id w:val="-1917854189"/>
        </w:sdtPr>
        <w:sdtEndPr/>
        <w:sdtContent>
          <w:r w:rsidR="003C0A9D">
            <w:t>4.1</w:t>
          </w:r>
          <w:r w:rsidR="009F00EC">
            <w:tab/>
          </w:r>
        </w:sdtContent>
      </w:sdt>
      <w:r w:rsidR="009F00EC">
        <w:rPr>
          <w:rFonts w:eastAsia="Hind"/>
        </w:rPr>
        <w:t>A framework for empirical case research</w:t>
      </w:r>
      <w:bookmarkEnd w:id="13"/>
    </w:p>
    <w:p w14:paraId="726118D3" w14:textId="77777777" w:rsidR="009F00EC" w:rsidRDefault="009F00EC" w:rsidP="009F00EC">
      <w:pPr>
        <w:spacing w:before="120" w:after="120"/>
        <w:jc w:val="both"/>
        <w:rPr>
          <w:rFonts w:ascii="Arial" w:eastAsia="Arial" w:hAnsi="Arial" w:cs="Arial"/>
          <w:color w:val="000000"/>
          <w:highlight w:val="white"/>
        </w:rPr>
      </w:pPr>
    </w:p>
    <w:p w14:paraId="67284F41" w14:textId="3A22A6E6" w:rsidR="009F00EC" w:rsidRDefault="003C0A9D" w:rsidP="00151111">
      <w:pPr>
        <w:spacing w:before="120" w:after="120"/>
        <w:ind w:firstLine="708"/>
        <w:jc w:val="both"/>
        <w:rPr>
          <w:rFonts w:ascii="Arial" w:eastAsia="Arial" w:hAnsi="Arial" w:cs="Arial"/>
          <w:color w:val="000000"/>
          <w:highlight w:val="white"/>
        </w:rPr>
      </w:pPr>
      <w:r>
        <w:rPr>
          <w:rFonts w:ascii="Arial" w:eastAsia="Arial" w:hAnsi="Arial" w:cs="Arial"/>
          <w:color w:val="000000"/>
          <w:highlight w:val="white"/>
        </w:rPr>
        <w:t>The</w:t>
      </w:r>
      <w:r w:rsidR="009F00EC">
        <w:rPr>
          <w:rFonts w:ascii="Arial" w:eastAsia="Arial" w:hAnsi="Arial" w:cs="Arial"/>
          <w:color w:val="000000"/>
          <w:highlight w:val="white"/>
        </w:rPr>
        <w:t xml:space="preserve"> criteria and considerations for case selection</w:t>
      </w:r>
      <w:r>
        <w:rPr>
          <w:rFonts w:ascii="Arial" w:eastAsia="Arial" w:hAnsi="Arial" w:cs="Arial"/>
          <w:color w:val="000000"/>
          <w:highlight w:val="white"/>
        </w:rPr>
        <w:t xml:space="preserve"> stem from internal discussion meetings (April-July 2021), and have been </w:t>
      </w:r>
      <w:r w:rsidR="009F00EC">
        <w:rPr>
          <w:rFonts w:ascii="Arial" w:eastAsia="Arial" w:hAnsi="Arial" w:cs="Arial"/>
          <w:color w:val="000000"/>
          <w:highlight w:val="white"/>
        </w:rPr>
        <w:t>discussed and validated with the members of the experts and</w:t>
      </w:r>
      <w:r>
        <w:rPr>
          <w:rFonts w:ascii="Arial" w:eastAsia="Arial" w:hAnsi="Arial" w:cs="Arial"/>
          <w:color w:val="000000"/>
          <w:highlight w:val="white"/>
        </w:rPr>
        <w:t xml:space="preserve"> stakeholders of the follow-up committee. The</w:t>
      </w:r>
      <w:r w:rsidR="009F00EC">
        <w:rPr>
          <w:rFonts w:ascii="Arial" w:eastAsia="Arial" w:hAnsi="Arial" w:cs="Arial"/>
          <w:color w:val="000000"/>
          <w:highlight w:val="white"/>
        </w:rPr>
        <w:t xml:space="preserve"> </w:t>
      </w:r>
      <w:r>
        <w:rPr>
          <w:rFonts w:ascii="Arial" w:eastAsia="Arial" w:hAnsi="Arial" w:cs="Arial"/>
          <w:color w:val="000000"/>
          <w:highlight w:val="white"/>
        </w:rPr>
        <w:t>considerations are visualized into the following framework</w:t>
      </w:r>
      <w:r w:rsidR="009F00EC">
        <w:rPr>
          <w:rFonts w:ascii="Arial" w:eastAsia="Arial" w:hAnsi="Arial" w:cs="Arial"/>
          <w:color w:val="000000"/>
          <w:highlight w:val="white"/>
        </w:rPr>
        <w:t xml:space="preserve"> </w:t>
      </w:r>
      <w:r>
        <w:rPr>
          <w:rFonts w:ascii="Arial" w:eastAsia="Arial" w:hAnsi="Arial" w:cs="Arial"/>
          <w:color w:val="000000"/>
          <w:highlight w:val="white"/>
        </w:rPr>
        <w:t xml:space="preserve">for </w:t>
      </w:r>
      <w:r w:rsidR="009F00EC">
        <w:rPr>
          <w:rFonts w:ascii="Arial" w:eastAsia="Arial" w:hAnsi="Arial" w:cs="Arial"/>
          <w:color w:val="000000"/>
          <w:highlight w:val="white"/>
        </w:rPr>
        <w:t>research design/</w:t>
      </w:r>
      <w:r>
        <w:rPr>
          <w:rFonts w:ascii="Arial" w:eastAsia="Arial" w:hAnsi="Arial" w:cs="Arial"/>
          <w:color w:val="000000"/>
          <w:highlight w:val="white"/>
        </w:rPr>
        <w:t xml:space="preserve">case demarcation </w:t>
      </w:r>
      <w:r w:rsidRPr="003C0A9D">
        <w:rPr>
          <w:rFonts w:ascii="Arial" w:eastAsia="Arial" w:hAnsi="Arial" w:cs="Arial"/>
          <w:b/>
          <w:color w:val="000000"/>
          <w:highlight w:val="white"/>
        </w:rPr>
        <w:t>(</w:t>
      </w:r>
      <w:r w:rsidR="009F00EC" w:rsidRPr="003C0A9D">
        <w:rPr>
          <w:rFonts w:ascii="Arial" w:eastAsia="Arial" w:hAnsi="Arial" w:cs="Arial"/>
          <w:b/>
          <w:color w:val="000000"/>
          <w:highlight w:val="white"/>
        </w:rPr>
        <w:t xml:space="preserve">Figure </w:t>
      </w:r>
      <w:r w:rsidRPr="003C0A9D">
        <w:rPr>
          <w:rFonts w:ascii="Arial" w:eastAsia="Arial" w:hAnsi="Arial" w:cs="Arial"/>
          <w:b/>
          <w:color w:val="000000"/>
          <w:highlight w:val="white"/>
        </w:rPr>
        <w:t>4.</w:t>
      </w:r>
      <w:r w:rsidR="009F00EC" w:rsidRPr="003C0A9D">
        <w:rPr>
          <w:rFonts w:ascii="Arial" w:eastAsia="Arial" w:hAnsi="Arial" w:cs="Arial"/>
          <w:b/>
          <w:color w:val="000000"/>
          <w:highlight w:val="white"/>
        </w:rPr>
        <w:t>1</w:t>
      </w:r>
      <w:r w:rsidRPr="003C0A9D">
        <w:rPr>
          <w:rFonts w:ascii="Arial" w:eastAsia="Arial" w:hAnsi="Arial" w:cs="Arial"/>
          <w:b/>
          <w:color w:val="000000"/>
          <w:highlight w:val="white"/>
        </w:rPr>
        <w:t>)</w:t>
      </w:r>
      <w:r w:rsidR="009F00EC">
        <w:rPr>
          <w:rFonts w:ascii="Arial" w:eastAsia="Arial" w:hAnsi="Arial" w:cs="Arial"/>
          <w:color w:val="000000"/>
          <w:highlight w:val="white"/>
        </w:rPr>
        <w:t>:</w:t>
      </w:r>
    </w:p>
    <w:p w14:paraId="10755DA3" w14:textId="77777777" w:rsidR="009F00EC" w:rsidRDefault="009F00EC" w:rsidP="009F00EC">
      <w:pPr>
        <w:spacing w:before="120" w:after="120"/>
        <w:rPr>
          <w:rFonts w:ascii="Arial" w:eastAsia="Arial" w:hAnsi="Arial" w:cs="Arial"/>
          <w:color w:val="000000"/>
          <w:highlight w:val="white"/>
        </w:rPr>
      </w:pPr>
    </w:p>
    <w:p w14:paraId="0195F4B6" w14:textId="77777777" w:rsidR="009F00EC" w:rsidRDefault="009F00EC" w:rsidP="009F00EC">
      <w:pPr>
        <w:keepNext/>
        <w:spacing w:before="120" w:after="120"/>
      </w:pPr>
      <w:r>
        <w:rPr>
          <w:rFonts w:ascii="Arial" w:eastAsia="Arial" w:hAnsi="Arial" w:cs="Arial"/>
          <w:noProof/>
          <w:color w:val="000000"/>
          <w:highlight w:val="white"/>
          <w:lang w:val="en-GB" w:eastAsia="en-GB"/>
        </w:rPr>
        <w:drawing>
          <wp:inline distT="114300" distB="114300" distL="114300" distR="114300" wp14:anchorId="4EBA32C3" wp14:editId="583A4BF7">
            <wp:extent cx="5731200" cy="3136900"/>
            <wp:effectExtent l="25400" t="25400" r="25400" b="254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31200" cy="3136900"/>
                    </a:xfrm>
                    <a:prstGeom prst="rect">
                      <a:avLst/>
                    </a:prstGeom>
                    <a:ln w="25400">
                      <a:solidFill>
                        <a:srgbClr val="000000"/>
                      </a:solidFill>
                      <a:prstDash val="solid"/>
                    </a:ln>
                  </pic:spPr>
                </pic:pic>
              </a:graphicData>
            </a:graphic>
          </wp:inline>
        </w:drawing>
      </w:r>
    </w:p>
    <w:p w14:paraId="70D989F6" w14:textId="5E69A5E9" w:rsidR="009F00EC" w:rsidRDefault="009F00EC" w:rsidP="009F00EC">
      <w:pPr>
        <w:pStyle w:val="Caption"/>
        <w:rPr>
          <w:rFonts w:ascii="Arial" w:eastAsia="Arial" w:hAnsi="Arial" w:cs="Arial"/>
          <w:color w:val="000000"/>
          <w:highlight w:val="white"/>
        </w:rPr>
      </w:pPr>
      <w:bookmarkStart w:id="14" w:name="_Toc101099968"/>
      <w:r>
        <w:t>Figure 4.1:</w:t>
      </w:r>
      <w:r>
        <w:tab/>
      </w:r>
      <w:r w:rsidRPr="002A2EC9">
        <w:t>Case research: salient sectors</w:t>
      </w:r>
      <w:r w:rsidR="003C0A9D">
        <w:t xml:space="preserve"> and nested case studies</w:t>
      </w:r>
      <w:bookmarkEnd w:id="14"/>
    </w:p>
    <w:p w14:paraId="648E83C6" w14:textId="77777777" w:rsidR="009F00EC" w:rsidRDefault="009F00EC" w:rsidP="009F00EC">
      <w:pPr>
        <w:spacing w:before="120" w:after="120"/>
        <w:rPr>
          <w:rFonts w:ascii="Arial" w:eastAsia="Arial" w:hAnsi="Arial" w:cs="Arial"/>
          <w:b/>
          <w:color w:val="000000"/>
          <w:highlight w:val="white"/>
        </w:rPr>
      </w:pPr>
    </w:p>
    <w:p w14:paraId="4A622D67" w14:textId="631B7187" w:rsidR="009F00EC" w:rsidRDefault="003C0A9D" w:rsidP="0007199C">
      <w:pPr>
        <w:spacing w:before="120" w:after="120"/>
        <w:jc w:val="both"/>
        <w:rPr>
          <w:rFonts w:ascii="Arial" w:eastAsia="Arial" w:hAnsi="Arial" w:cs="Arial"/>
          <w:b/>
          <w:color w:val="000000"/>
          <w:highlight w:val="white"/>
        </w:rPr>
      </w:pPr>
      <w:r>
        <w:rPr>
          <w:rFonts w:ascii="Arial" w:eastAsia="Arial" w:hAnsi="Arial" w:cs="Arial"/>
          <w:b/>
          <w:color w:val="000000"/>
          <w:highlight w:val="white"/>
        </w:rPr>
        <w:t>The diagram indicates the follow aspects</w:t>
      </w:r>
      <w:r w:rsidR="009F00EC">
        <w:rPr>
          <w:rFonts w:ascii="Arial" w:eastAsia="Arial" w:hAnsi="Arial" w:cs="Arial"/>
          <w:b/>
          <w:color w:val="000000"/>
          <w:highlight w:val="white"/>
        </w:rPr>
        <w:t>:</w:t>
      </w:r>
    </w:p>
    <w:p w14:paraId="3374A687" w14:textId="1841A92A" w:rsidR="009F00EC" w:rsidRDefault="00E7421D" w:rsidP="0007199C">
      <w:pPr>
        <w:numPr>
          <w:ilvl w:val="0"/>
          <w:numId w:val="7"/>
        </w:numPr>
        <w:spacing w:before="120" w:after="120"/>
        <w:ind w:left="0" w:firstLine="284"/>
        <w:jc w:val="both"/>
        <w:rPr>
          <w:rFonts w:ascii="Arial" w:eastAsia="Arial" w:hAnsi="Arial" w:cs="Arial"/>
          <w:color w:val="000000"/>
          <w:highlight w:val="white"/>
        </w:rPr>
      </w:pPr>
      <w:r>
        <w:rPr>
          <w:rFonts w:ascii="Arial" w:eastAsia="Arial" w:hAnsi="Arial" w:cs="Arial"/>
          <w:color w:val="000000"/>
          <w:highlight w:val="white"/>
        </w:rPr>
        <w:t>The h</w:t>
      </w:r>
      <w:r w:rsidR="009F00EC">
        <w:rPr>
          <w:rFonts w:ascii="Arial" w:eastAsia="Arial" w:hAnsi="Arial" w:cs="Arial"/>
          <w:color w:val="000000"/>
          <w:highlight w:val="white"/>
        </w:rPr>
        <w:t xml:space="preserve">ighest aggregation level of </w:t>
      </w:r>
      <w:r>
        <w:rPr>
          <w:rFonts w:ascii="Arial" w:eastAsia="Arial" w:hAnsi="Arial" w:cs="Arial"/>
          <w:color w:val="000000"/>
          <w:highlight w:val="white"/>
        </w:rPr>
        <w:t xml:space="preserve">empirical </w:t>
      </w:r>
      <w:r w:rsidR="009F00EC">
        <w:rPr>
          <w:rFonts w:ascii="Arial" w:eastAsia="Arial" w:hAnsi="Arial" w:cs="Arial"/>
          <w:color w:val="000000"/>
          <w:highlight w:val="white"/>
        </w:rPr>
        <w:t xml:space="preserve">analysis is that of </w:t>
      </w:r>
      <w:r>
        <w:rPr>
          <w:rFonts w:ascii="Arial" w:eastAsia="Arial" w:hAnsi="Arial" w:cs="Arial"/>
          <w:color w:val="000000"/>
          <w:highlight w:val="white"/>
        </w:rPr>
        <w:t xml:space="preserve">the </w:t>
      </w:r>
      <w:r w:rsidR="009F00EC">
        <w:rPr>
          <w:rFonts w:ascii="Arial" w:eastAsia="Arial" w:hAnsi="Arial" w:cs="Arial"/>
          <w:color w:val="000000"/>
          <w:highlight w:val="white"/>
        </w:rPr>
        <w:t>WP3</w:t>
      </w:r>
      <w:r>
        <w:rPr>
          <w:rFonts w:ascii="Arial" w:eastAsia="Arial" w:hAnsi="Arial" w:cs="Arial"/>
          <w:color w:val="000000"/>
          <w:highlight w:val="white"/>
        </w:rPr>
        <w:t xml:space="preserve">. This quantitative analysis is done on the level of </w:t>
      </w:r>
      <w:r w:rsidR="009F00EC">
        <w:rPr>
          <w:rFonts w:ascii="Arial" w:eastAsia="Arial" w:hAnsi="Arial" w:cs="Arial"/>
          <w:color w:val="000000"/>
          <w:highlight w:val="white"/>
        </w:rPr>
        <w:t>economic s</w:t>
      </w:r>
      <w:r>
        <w:rPr>
          <w:rFonts w:ascii="Arial" w:eastAsia="Arial" w:hAnsi="Arial" w:cs="Arial"/>
          <w:color w:val="000000"/>
          <w:highlight w:val="white"/>
        </w:rPr>
        <w:t>ectors</w:t>
      </w:r>
      <w:r>
        <w:rPr>
          <w:rStyle w:val="FootnoteReference"/>
          <w:rFonts w:ascii="Arial" w:eastAsia="Arial" w:hAnsi="Arial" w:cs="Arial"/>
          <w:color w:val="000000"/>
          <w:highlight w:val="white"/>
        </w:rPr>
        <w:footnoteReference w:id="10"/>
      </w:r>
      <w:r>
        <w:rPr>
          <w:rFonts w:ascii="Arial" w:eastAsia="Arial" w:hAnsi="Arial" w:cs="Arial"/>
          <w:color w:val="000000"/>
          <w:highlight w:val="white"/>
        </w:rPr>
        <w:t xml:space="preserve">. These four </w:t>
      </w:r>
      <w:r w:rsidRPr="00E7421D">
        <w:rPr>
          <w:rFonts w:ascii="Arial" w:eastAsia="Arial" w:hAnsi="Arial" w:cs="Arial"/>
          <w:b/>
          <w:color w:val="000000"/>
          <w:highlight w:val="white"/>
        </w:rPr>
        <w:t>‘salient sectors’</w:t>
      </w:r>
      <w:r>
        <w:rPr>
          <w:rFonts w:ascii="Arial" w:eastAsia="Arial" w:hAnsi="Arial" w:cs="Arial"/>
          <w:color w:val="000000"/>
          <w:highlight w:val="white"/>
        </w:rPr>
        <w:t xml:space="preserve"> are the preferred fields for the qualitative analyses of WP 2,4 and 5. </w:t>
      </w:r>
    </w:p>
    <w:p w14:paraId="1D256847" w14:textId="67F847C9" w:rsidR="009F00EC" w:rsidRDefault="00E7421D" w:rsidP="0007199C">
      <w:pPr>
        <w:numPr>
          <w:ilvl w:val="0"/>
          <w:numId w:val="7"/>
        </w:numPr>
        <w:spacing w:before="120" w:after="120"/>
        <w:ind w:left="0" w:firstLine="284"/>
        <w:jc w:val="both"/>
        <w:rPr>
          <w:rFonts w:ascii="Arial" w:eastAsia="Arial" w:hAnsi="Arial" w:cs="Arial"/>
          <w:color w:val="000000"/>
          <w:highlight w:val="white"/>
        </w:rPr>
      </w:pPr>
      <w:r w:rsidRPr="00E7421D">
        <w:rPr>
          <w:rFonts w:ascii="Arial" w:eastAsia="Arial" w:hAnsi="Arial" w:cs="Arial"/>
          <w:b/>
          <w:color w:val="000000"/>
          <w:highlight w:val="white"/>
        </w:rPr>
        <w:lastRenderedPageBreak/>
        <w:t>Case diversity: Traditional and later-stage economic activities.</w:t>
      </w:r>
      <w:r>
        <w:rPr>
          <w:rFonts w:ascii="Arial" w:eastAsia="Arial" w:hAnsi="Arial" w:cs="Arial"/>
          <w:color w:val="000000"/>
          <w:highlight w:val="white"/>
        </w:rPr>
        <w:t xml:space="preserve"> The m</w:t>
      </w:r>
      <w:r w:rsidR="009F00EC">
        <w:rPr>
          <w:rFonts w:ascii="Arial" w:eastAsia="Arial" w:hAnsi="Arial" w:cs="Arial"/>
          <w:color w:val="000000"/>
          <w:highlight w:val="white"/>
        </w:rPr>
        <w:t xml:space="preserve">ain choice </w:t>
      </w:r>
      <w:r>
        <w:rPr>
          <w:rFonts w:ascii="Arial" w:eastAsia="Arial" w:hAnsi="Arial" w:cs="Arial"/>
          <w:color w:val="000000"/>
          <w:highlight w:val="white"/>
        </w:rPr>
        <w:t>is to</w:t>
      </w:r>
      <w:r w:rsidR="009F00EC">
        <w:rPr>
          <w:rFonts w:ascii="Arial" w:eastAsia="Arial" w:hAnsi="Arial" w:cs="Arial"/>
          <w:color w:val="000000"/>
          <w:highlight w:val="white"/>
        </w:rPr>
        <w:t xml:space="preserve"> </w:t>
      </w:r>
      <w:r>
        <w:rPr>
          <w:rFonts w:ascii="Arial" w:eastAsia="Arial" w:hAnsi="Arial" w:cs="Arial"/>
          <w:color w:val="000000"/>
          <w:highlight w:val="white"/>
        </w:rPr>
        <w:t xml:space="preserve">choose </w:t>
      </w:r>
      <w:r w:rsidR="009F00EC">
        <w:rPr>
          <w:rFonts w:ascii="Arial" w:eastAsia="Arial" w:hAnsi="Arial" w:cs="Arial"/>
          <w:color w:val="000000"/>
          <w:highlight w:val="white"/>
        </w:rPr>
        <w:t>4 ‘salient’ sectors that are diverse</w:t>
      </w:r>
      <w:r>
        <w:rPr>
          <w:rFonts w:ascii="Arial" w:eastAsia="Arial" w:hAnsi="Arial" w:cs="Arial"/>
          <w:color w:val="000000"/>
          <w:highlight w:val="white"/>
        </w:rPr>
        <w:t xml:space="preserve"> on this primary-second</w:t>
      </w:r>
      <w:r w:rsidR="0007199C">
        <w:rPr>
          <w:rFonts w:ascii="Arial" w:eastAsia="Arial" w:hAnsi="Arial" w:cs="Arial"/>
          <w:color w:val="000000"/>
          <w:highlight w:val="white"/>
        </w:rPr>
        <w:t>a</w:t>
      </w:r>
      <w:r>
        <w:rPr>
          <w:rFonts w:ascii="Arial" w:eastAsia="Arial" w:hAnsi="Arial" w:cs="Arial"/>
          <w:color w:val="000000"/>
          <w:highlight w:val="white"/>
        </w:rPr>
        <w:t>ry, tertiary and quaternary sector</w:t>
      </w:r>
      <w:r w:rsidR="0007199C">
        <w:rPr>
          <w:rStyle w:val="FootnoteReference"/>
          <w:rFonts w:ascii="Arial" w:eastAsia="Arial" w:hAnsi="Arial" w:cs="Arial"/>
          <w:color w:val="000000"/>
          <w:highlight w:val="white"/>
        </w:rPr>
        <w:footnoteReference w:id="11"/>
      </w:r>
      <w:r>
        <w:rPr>
          <w:rFonts w:ascii="Arial" w:eastAsia="Arial" w:hAnsi="Arial" w:cs="Arial"/>
          <w:color w:val="000000"/>
          <w:highlight w:val="white"/>
        </w:rPr>
        <w:t xml:space="preserve"> </w:t>
      </w:r>
      <w:r w:rsidR="0007199C">
        <w:rPr>
          <w:rFonts w:ascii="Arial" w:eastAsia="Arial" w:hAnsi="Arial" w:cs="Arial"/>
          <w:color w:val="000000"/>
          <w:highlight w:val="white"/>
        </w:rPr>
        <w:t>distinction.</w:t>
      </w:r>
      <w:r w:rsidR="009F00EC">
        <w:rPr>
          <w:rFonts w:ascii="Arial" w:eastAsia="Arial" w:hAnsi="Arial" w:cs="Arial"/>
          <w:color w:val="000000"/>
          <w:highlight w:val="white"/>
        </w:rPr>
        <w:t xml:space="preserve"> </w:t>
      </w:r>
      <w:r w:rsidR="0007199C">
        <w:rPr>
          <w:rFonts w:ascii="Arial" w:eastAsia="Arial" w:hAnsi="Arial" w:cs="Arial"/>
          <w:color w:val="000000"/>
          <w:highlight w:val="white"/>
        </w:rPr>
        <w:t xml:space="preserve">Taken </w:t>
      </w:r>
      <w:r w:rsidR="009F00EC">
        <w:rPr>
          <w:rFonts w:ascii="Arial" w:eastAsia="Arial" w:hAnsi="Arial" w:cs="Arial"/>
          <w:color w:val="000000"/>
          <w:highlight w:val="white"/>
        </w:rPr>
        <w:t xml:space="preserve">together </w:t>
      </w:r>
      <w:r w:rsidR="0007199C">
        <w:rPr>
          <w:rFonts w:ascii="Arial" w:eastAsia="Arial" w:hAnsi="Arial" w:cs="Arial"/>
          <w:color w:val="000000"/>
          <w:highlight w:val="white"/>
        </w:rPr>
        <w:t>these cover</w:t>
      </w:r>
      <w:r w:rsidR="009F00EC">
        <w:rPr>
          <w:rFonts w:ascii="Arial" w:eastAsia="Arial" w:hAnsi="Arial" w:cs="Arial"/>
          <w:color w:val="000000"/>
          <w:highlight w:val="white"/>
        </w:rPr>
        <w:t xml:space="preserve"> a big part of the ‘labour’/’carbon’ transition dynamics in Belgium. </w:t>
      </w:r>
      <w:r w:rsidR="0007199C">
        <w:rPr>
          <w:rFonts w:ascii="Arial" w:eastAsia="Arial" w:hAnsi="Arial" w:cs="Arial"/>
          <w:color w:val="000000"/>
          <w:highlight w:val="white"/>
        </w:rPr>
        <w:t xml:space="preserve">Corresponding with different stages/waves of economic development (the activities of which exist alongside each other) they represent a diversity of decarbonization challenges, different mixtures of innovation and exnovation challenges, and different skills and worker profiles. Also in terms of actor constellations and prevailing modes of governance they are sufficiently diverse to show different faces of ‘dual transition’ governance challenges. Finally, the cases fulfill criteria of relevance. </w:t>
      </w:r>
    </w:p>
    <w:p w14:paraId="4826F663" w14:textId="77777777" w:rsidR="0007199C" w:rsidRDefault="0007199C" w:rsidP="0007199C">
      <w:pPr>
        <w:numPr>
          <w:ilvl w:val="0"/>
          <w:numId w:val="14"/>
        </w:numPr>
        <w:pBdr>
          <w:top w:val="nil"/>
          <w:left w:val="nil"/>
          <w:bottom w:val="nil"/>
          <w:right w:val="nil"/>
          <w:between w:val="nil"/>
        </w:pBdr>
        <w:spacing w:before="120"/>
        <w:jc w:val="both"/>
        <w:rPr>
          <w:rFonts w:ascii="Arial" w:eastAsia="Arial" w:hAnsi="Arial" w:cs="Arial"/>
          <w:color w:val="000000"/>
          <w:highlight w:val="white"/>
        </w:rPr>
      </w:pPr>
      <w:r>
        <w:rPr>
          <w:rFonts w:ascii="Arial" w:eastAsia="Arial" w:hAnsi="Arial" w:cs="Arial"/>
          <w:color w:val="000000"/>
          <w:highlight w:val="white"/>
        </w:rPr>
        <w:t>Agriculture</w:t>
      </w:r>
    </w:p>
    <w:p w14:paraId="19C70FF1" w14:textId="77777777" w:rsidR="0007199C" w:rsidRDefault="0007199C" w:rsidP="0007199C">
      <w:pPr>
        <w:numPr>
          <w:ilvl w:val="0"/>
          <w:numId w:val="14"/>
        </w:num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Construction</w:t>
      </w:r>
    </w:p>
    <w:p w14:paraId="04BB55CA" w14:textId="77777777" w:rsidR="0007199C" w:rsidRDefault="0007199C" w:rsidP="0007199C">
      <w:pPr>
        <w:numPr>
          <w:ilvl w:val="0"/>
          <w:numId w:val="14"/>
        </w:num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Metallurgy</w:t>
      </w:r>
    </w:p>
    <w:p w14:paraId="12B51658" w14:textId="2E784265" w:rsidR="0007199C" w:rsidRPr="0007199C" w:rsidRDefault="0007199C" w:rsidP="0007199C">
      <w:pPr>
        <w:numPr>
          <w:ilvl w:val="0"/>
          <w:numId w:val="14"/>
        </w:numPr>
        <w:pBdr>
          <w:top w:val="nil"/>
          <w:left w:val="nil"/>
          <w:bottom w:val="nil"/>
          <w:right w:val="nil"/>
          <w:between w:val="nil"/>
        </w:pBdr>
        <w:spacing w:after="120"/>
        <w:jc w:val="both"/>
        <w:rPr>
          <w:rFonts w:ascii="Arial" w:eastAsia="Arial" w:hAnsi="Arial" w:cs="Arial"/>
          <w:color w:val="000000"/>
          <w:highlight w:val="white"/>
        </w:rPr>
      </w:pPr>
      <w:r>
        <w:rPr>
          <w:rFonts w:ascii="Arial" w:eastAsia="Arial" w:hAnsi="Arial" w:cs="Arial"/>
          <w:color w:val="000000"/>
          <w:highlight w:val="white"/>
        </w:rPr>
        <w:t>E-commerce</w:t>
      </w:r>
    </w:p>
    <w:p w14:paraId="3F1E4076" w14:textId="4EB92E00" w:rsidR="009F00EC" w:rsidRDefault="003D1A3B" w:rsidP="0007199C">
      <w:pPr>
        <w:numPr>
          <w:ilvl w:val="0"/>
          <w:numId w:val="7"/>
        </w:numPr>
        <w:spacing w:before="120" w:after="120"/>
        <w:ind w:left="0" w:firstLine="284"/>
        <w:jc w:val="both"/>
        <w:rPr>
          <w:rFonts w:ascii="Arial" w:eastAsia="Arial" w:hAnsi="Arial" w:cs="Arial"/>
          <w:color w:val="000000"/>
          <w:highlight w:val="white"/>
        </w:rPr>
      </w:pPr>
      <w:r>
        <w:rPr>
          <w:rFonts w:ascii="Arial" w:eastAsia="Arial" w:hAnsi="Arial" w:cs="Arial"/>
          <w:color w:val="000000"/>
          <w:highlight w:val="white"/>
        </w:rPr>
        <w:t>A</w:t>
      </w:r>
      <w:r w:rsidR="009F00EC">
        <w:rPr>
          <w:rFonts w:ascii="Arial" w:eastAsia="Arial" w:hAnsi="Arial" w:cs="Arial"/>
          <w:color w:val="000000"/>
          <w:highlight w:val="white"/>
        </w:rPr>
        <w:t xml:space="preserve"> </w:t>
      </w:r>
      <w:r w:rsidR="009F00EC" w:rsidRPr="003D1A3B">
        <w:rPr>
          <w:rFonts w:ascii="Arial" w:eastAsia="Arial" w:hAnsi="Arial" w:cs="Arial"/>
          <w:b/>
          <w:color w:val="000000"/>
          <w:highlight w:val="white"/>
        </w:rPr>
        <w:t>‘nested case’</w:t>
      </w:r>
      <w:r>
        <w:rPr>
          <w:rFonts w:ascii="Arial" w:eastAsia="Arial" w:hAnsi="Arial" w:cs="Arial"/>
          <w:color w:val="000000"/>
          <w:highlight w:val="white"/>
        </w:rPr>
        <w:t xml:space="preserve"> approach</w:t>
      </w:r>
      <w:r w:rsidR="009F00EC">
        <w:rPr>
          <w:rFonts w:ascii="Arial" w:eastAsia="Arial" w:hAnsi="Arial" w:cs="Arial"/>
          <w:color w:val="000000"/>
          <w:highlight w:val="white"/>
        </w:rPr>
        <w:t>. Within the ‘salient sectors’, WP2, and especially WP4 and WP5, work on lowe</w:t>
      </w:r>
      <w:r>
        <w:rPr>
          <w:rFonts w:ascii="Arial" w:eastAsia="Arial" w:hAnsi="Arial" w:cs="Arial"/>
          <w:color w:val="000000"/>
          <w:highlight w:val="white"/>
        </w:rPr>
        <w:t xml:space="preserve">r levels of aggregation. These work packages will define cases within and around the indicated sectors – as far as possible in light of WP-specific criteria and considerations (sections 3.2-3.5). The diagram indicates how these analyses will zoom in onto particular </w:t>
      </w:r>
      <w:r w:rsidR="009F00EC">
        <w:rPr>
          <w:rFonts w:ascii="Arial" w:eastAsia="Arial" w:hAnsi="Arial" w:cs="Arial"/>
          <w:color w:val="000000"/>
          <w:highlight w:val="white"/>
        </w:rPr>
        <w:t xml:space="preserve">networks </w:t>
      </w:r>
      <w:r>
        <w:rPr>
          <w:rFonts w:ascii="Arial" w:eastAsia="Arial" w:hAnsi="Arial" w:cs="Arial"/>
          <w:color w:val="000000"/>
          <w:highlight w:val="white"/>
        </w:rPr>
        <w:t xml:space="preserve">of actors </w:t>
      </w:r>
      <w:r w:rsidR="009F00EC">
        <w:rPr>
          <w:rFonts w:ascii="Arial" w:eastAsia="Arial" w:hAnsi="Arial" w:cs="Arial"/>
          <w:color w:val="000000"/>
          <w:highlight w:val="white"/>
        </w:rPr>
        <w:t xml:space="preserve">and </w:t>
      </w:r>
      <w:r>
        <w:rPr>
          <w:rFonts w:ascii="Arial" w:eastAsia="Arial" w:hAnsi="Arial" w:cs="Arial"/>
          <w:color w:val="000000"/>
          <w:highlight w:val="white"/>
        </w:rPr>
        <w:t xml:space="preserve">hybrid fora </w:t>
      </w:r>
      <w:r w:rsidRPr="00EC53B8">
        <w:rPr>
          <w:rFonts w:ascii="Arial" w:eastAsia="Arial" w:hAnsi="Arial" w:cs="Arial"/>
          <w:b/>
          <w:color w:val="000000"/>
          <w:highlight w:val="white"/>
        </w:rPr>
        <w:t>(WP4)</w:t>
      </w:r>
      <w:r>
        <w:rPr>
          <w:rFonts w:ascii="Arial" w:eastAsia="Arial" w:hAnsi="Arial" w:cs="Arial"/>
          <w:color w:val="000000"/>
          <w:highlight w:val="white"/>
        </w:rPr>
        <w:t>, companies and their</w:t>
      </w:r>
      <w:r w:rsidR="009F00EC">
        <w:rPr>
          <w:rFonts w:ascii="Arial" w:eastAsia="Arial" w:hAnsi="Arial" w:cs="Arial"/>
          <w:color w:val="000000"/>
          <w:highlight w:val="white"/>
        </w:rPr>
        <w:t xml:space="preserve"> institutional surroundings</w:t>
      </w:r>
      <w:r>
        <w:rPr>
          <w:rFonts w:ascii="Arial" w:eastAsia="Arial" w:hAnsi="Arial" w:cs="Arial"/>
          <w:color w:val="000000"/>
          <w:highlight w:val="white"/>
        </w:rPr>
        <w:t xml:space="preserve"> </w:t>
      </w:r>
      <w:r w:rsidRPr="00EC53B8">
        <w:rPr>
          <w:rFonts w:ascii="Arial" w:eastAsia="Arial" w:hAnsi="Arial" w:cs="Arial"/>
          <w:b/>
          <w:color w:val="000000"/>
          <w:highlight w:val="white"/>
        </w:rPr>
        <w:t>(WP5)</w:t>
      </w:r>
      <w:r>
        <w:rPr>
          <w:rFonts w:ascii="Arial" w:eastAsia="Arial" w:hAnsi="Arial" w:cs="Arial"/>
          <w:color w:val="000000"/>
          <w:highlight w:val="white"/>
        </w:rPr>
        <w:t xml:space="preserve">, and </w:t>
      </w:r>
      <w:r w:rsidR="00EC53B8">
        <w:rPr>
          <w:rFonts w:ascii="Arial" w:eastAsia="Arial" w:hAnsi="Arial" w:cs="Arial"/>
          <w:color w:val="000000"/>
          <w:highlight w:val="white"/>
        </w:rPr>
        <w:t xml:space="preserve">startegic action fields/socio-technical systems </w:t>
      </w:r>
      <w:r w:rsidR="00EC53B8" w:rsidRPr="00EC53B8">
        <w:rPr>
          <w:rFonts w:ascii="Arial" w:eastAsia="Arial" w:hAnsi="Arial" w:cs="Arial"/>
          <w:b/>
          <w:color w:val="000000"/>
          <w:highlight w:val="white"/>
        </w:rPr>
        <w:t>(WP2)</w:t>
      </w:r>
      <w:r w:rsidR="009F00EC">
        <w:rPr>
          <w:rFonts w:ascii="Arial" w:eastAsia="Arial" w:hAnsi="Arial" w:cs="Arial"/>
          <w:color w:val="000000"/>
          <w:highlight w:val="white"/>
        </w:rPr>
        <w:t xml:space="preserve">. </w:t>
      </w:r>
      <w:r w:rsidR="00EC53B8">
        <w:rPr>
          <w:rFonts w:ascii="Arial" w:eastAsia="Arial" w:hAnsi="Arial" w:cs="Arial"/>
          <w:color w:val="000000"/>
          <w:highlight w:val="white"/>
        </w:rPr>
        <w:t>Importantly, t</w:t>
      </w:r>
      <w:r w:rsidR="009F00EC">
        <w:rPr>
          <w:rFonts w:ascii="Arial" w:eastAsia="Arial" w:hAnsi="Arial" w:cs="Arial"/>
          <w:color w:val="000000"/>
          <w:highlight w:val="white"/>
        </w:rPr>
        <w:t>he</w:t>
      </w:r>
      <w:r w:rsidR="00EC53B8">
        <w:rPr>
          <w:rFonts w:ascii="Arial" w:eastAsia="Arial" w:hAnsi="Arial" w:cs="Arial"/>
          <w:color w:val="000000"/>
          <w:highlight w:val="white"/>
        </w:rPr>
        <w:t>se</w:t>
      </w:r>
      <w:r w:rsidR="009F00EC">
        <w:rPr>
          <w:rFonts w:ascii="Arial" w:eastAsia="Arial" w:hAnsi="Arial" w:cs="Arial"/>
          <w:color w:val="000000"/>
          <w:highlight w:val="white"/>
        </w:rPr>
        <w:t xml:space="preserve"> </w:t>
      </w:r>
      <w:r w:rsidR="00EC53B8">
        <w:rPr>
          <w:rFonts w:ascii="Arial" w:eastAsia="Arial" w:hAnsi="Arial" w:cs="Arial"/>
          <w:color w:val="000000"/>
          <w:highlight w:val="white"/>
        </w:rPr>
        <w:t>qualitative analyses may involve</w:t>
      </w:r>
      <w:r w:rsidR="009F00EC">
        <w:rPr>
          <w:rFonts w:ascii="Arial" w:eastAsia="Arial" w:hAnsi="Arial" w:cs="Arial"/>
          <w:color w:val="000000"/>
          <w:highlight w:val="white"/>
        </w:rPr>
        <w:t xml:space="preserve"> cross-sector </w:t>
      </w:r>
      <w:r w:rsidR="00EC53B8">
        <w:rPr>
          <w:rFonts w:ascii="Arial" w:eastAsia="Arial" w:hAnsi="Arial" w:cs="Arial"/>
          <w:color w:val="000000"/>
          <w:highlight w:val="white"/>
        </w:rPr>
        <w:t xml:space="preserve">dynamics – they need not be </w:t>
      </w:r>
      <w:r w:rsidR="009F00EC">
        <w:rPr>
          <w:rFonts w:ascii="Arial" w:eastAsia="Arial" w:hAnsi="Arial" w:cs="Arial"/>
          <w:color w:val="000000"/>
          <w:highlight w:val="white"/>
        </w:rPr>
        <w:t>exclusively confined to the four 'salient se</w:t>
      </w:r>
      <w:r w:rsidR="00EC53B8">
        <w:rPr>
          <w:rFonts w:ascii="Arial" w:eastAsia="Arial" w:hAnsi="Arial" w:cs="Arial"/>
          <w:color w:val="000000"/>
          <w:highlight w:val="white"/>
        </w:rPr>
        <w:t>ctors'.</w:t>
      </w:r>
    </w:p>
    <w:p w14:paraId="069BD273" w14:textId="67291653" w:rsidR="009F00EC" w:rsidRDefault="00D43822" w:rsidP="0007199C">
      <w:pPr>
        <w:numPr>
          <w:ilvl w:val="0"/>
          <w:numId w:val="7"/>
        </w:numPr>
        <w:spacing w:before="120" w:after="120"/>
        <w:ind w:left="0" w:firstLine="284"/>
        <w:jc w:val="both"/>
        <w:rPr>
          <w:rFonts w:ascii="Arial" w:eastAsia="Arial" w:hAnsi="Arial" w:cs="Arial"/>
          <w:color w:val="000000"/>
          <w:highlight w:val="white"/>
        </w:rPr>
      </w:pPr>
      <w:r w:rsidRPr="00D43822">
        <w:rPr>
          <w:rFonts w:ascii="Arial" w:eastAsia="Arial" w:hAnsi="Arial" w:cs="Arial"/>
          <w:b/>
          <w:color w:val="000000"/>
          <w:highlight w:val="white"/>
        </w:rPr>
        <w:t>Case intersections.</w:t>
      </w:r>
      <w:r>
        <w:rPr>
          <w:rFonts w:ascii="Arial" w:eastAsia="Arial" w:hAnsi="Arial" w:cs="Arial"/>
          <w:color w:val="000000"/>
          <w:highlight w:val="white"/>
        </w:rPr>
        <w:t xml:space="preserve"> </w:t>
      </w:r>
      <w:r w:rsidR="009F00EC">
        <w:rPr>
          <w:rFonts w:ascii="Arial" w:eastAsia="Arial" w:hAnsi="Arial" w:cs="Arial"/>
          <w:color w:val="000000"/>
          <w:highlight w:val="white"/>
        </w:rPr>
        <w:t>As i</w:t>
      </w:r>
      <w:r>
        <w:rPr>
          <w:rFonts w:ascii="Arial" w:eastAsia="Arial" w:hAnsi="Arial" w:cs="Arial"/>
          <w:color w:val="000000"/>
          <w:highlight w:val="white"/>
        </w:rPr>
        <w:t>ndicated through the red arrows, s</w:t>
      </w:r>
      <w:r w:rsidR="009F00EC">
        <w:rPr>
          <w:rFonts w:ascii="Arial" w:eastAsia="Arial" w:hAnsi="Arial" w:cs="Arial"/>
          <w:color w:val="000000"/>
          <w:highlight w:val="white"/>
        </w:rPr>
        <w:t xml:space="preserve">ome of the </w:t>
      </w:r>
      <w:r>
        <w:rPr>
          <w:rFonts w:ascii="Arial" w:eastAsia="Arial" w:hAnsi="Arial" w:cs="Arial"/>
          <w:color w:val="000000"/>
          <w:highlight w:val="white"/>
        </w:rPr>
        <w:t xml:space="preserve">qualitative </w:t>
      </w:r>
      <w:r w:rsidR="009F00EC">
        <w:rPr>
          <w:rFonts w:ascii="Arial" w:eastAsia="Arial" w:hAnsi="Arial" w:cs="Arial"/>
          <w:color w:val="000000"/>
          <w:highlight w:val="white"/>
        </w:rPr>
        <w:t xml:space="preserve">empirical analyses </w:t>
      </w:r>
      <w:r>
        <w:rPr>
          <w:rFonts w:ascii="Arial" w:eastAsia="Arial" w:hAnsi="Arial" w:cs="Arial"/>
          <w:color w:val="000000"/>
          <w:highlight w:val="white"/>
        </w:rPr>
        <w:t xml:space="preserve">(notably of WP2 and WP4) </w:t>
      </w:r>
      <w:r w:rsidR="009F00EC">
        <w:rPr>
          <w:rFonts w:ascii="Arial" w:eastAsia="Arial" w:hAnsi="Arial" w:cs="Arial"/>
          <w:color w:val="000000"/>
          <w:highlight w:val="white"/>
        </w:rPr>
        <w:t>will also address the int</w:t>
      </w:r>
      <w:r>
        <w:rPr>
          <w:rFonts w:ascii="Arial" w:eastAsia="Arial" w:hAnsi="Arial" w:cs="Arial"/>
          <w:color w:val="000000"/>
          <w:highlight w:val="white"/>
        </w:rPr>
        <w:t>erconnections between the cases and the sectors studied</w:t>
      </w:r>
      <w:r w:rsidR="009F00EC">
        <w:rPr>
          <w:rFonts w:ascii="Arial" w:eastAsia="Arial" w:hAnsi="Arial" w:cs="Arial"/>
          <w:color w:val="000000"/>
          <w:highlight w:val="white"/>
        </w:rPr>
        <w:t>.</w:t>
      </w:r>
      <w:r>
        <w:rPr>
          <w:rFonts w:ascii="Arial" w:eastAsia="Arial" w:hAnsi="Arial" w:cs="Arial"/>
          <w:color w:val="000000"/>
          <w:highlight w:val="white"/>
        </w:rPr>
        <w:t xml:space="preserve"> This allows to capture cross-sectoral dynamics and phenomena of so called ‘deep’ i.e. sector-transcending transitions (Schot &amp; Kanger 2018). </w:t>
      </w:r>
    </w:p>
    <w:p w14:paraId="22E5489E" w14:textId="5AAFD381" w:rsidR="009F00EC" w:rsidRDefault="00D43822" w:rsidP="0007199C">
      <w:pPr>
        <w:numPr>
          <w:ilvl w:val="0"/>
          <w:numId w:val="7"/>
        </w:numPr>
        <w:spacing w:before="120" w:after="120"/>
        <w:ind w:left="0" w:firstLine="284"/>
        <w:jc w:val="both"/>
        <w:rPr>
          <w:rFonts w:ascii="Arial" w:eastAsia="Arial" w:hAnsi="Arial" w:cs="Arial"/>
          <w:color w:val="000000"/>
          <w:highlight w:val="white"/>
        </w:rPr>
      </w:pPr>
      <w:r w:rsidRPr="00D43822">
        <w:rPr>
          <w:rFonts w:ascii="Arial" w:eastAsia="Arial" w:hAnsi="Arial" w:cs="Arial"/>
          <w:b/>
          <w:color w:val="000000"/>
          <w:highlight w:val="white"/>
        </w:rPr>
        <w:t>Complementary perspectives on ‘dual transition’.</w:t>
      </w:r>
      <w:r w:rsidR="009F00EC">
        <w:rPr>
          <w:rFonts w:ascii="Arial" w:eastAsia="Arial" w:hAnsi="Arial" w:cs="Arial"/>
          <w:color w:val="000000"/>
          <w:highlight w:val="white"/>
        </w:rPr>
        <w:t xml:space="preserve"> </w:t>
      </w:r>
      <w:r>
        <w:rPr>
          <w:rFonts w:ascii="Arial" w:eastAsia="Arial" w:hAnsi="Arial" w:cs="Arial"/>
          <w:color w:val="000000"/>
          <w:highlight w:val="white"/>
        </w:rPr>
        <w:t>The framework indicates</w:t>
      </w:r>
      <w:r w:rsidR="009F00EC">
        <w:rPr>
          <w:rFonts w:ascii="Arial" w:eastAsia="Arial" w:hAnsi="Arial" w:cs="Arial"/>
          <w:color w:val="000000"/>
          <w:highlight w:val="white"/>
        </w:rPr>
        <w:t xml:space="preserve"> c</w:t>
      </w:r>
      <w:r>
        <w:rPr>
          <w:rFonts w:ascii="Arial" w:eastAsia="Arial" w:hAnsi="Arial" w:cs="Arial"/>
          <w:color w:val="000000"/>
          <w:highlight w:val="white"/>
        </w:rPr>
        <w:t>ommon empirical areas.</w:t>
      </w:r>
      <w:r w:rsidR="009F00EC">
        <w:rPr>
          <w:rFonts w:ascii="Arial" w:eastAsia="Arial" w:hAnsi="Arial" w:cs="Arial"/>
          <w:color w:val="000000"/>
          <w:highlight w:val="white"/>
        </w:rPr>
        <w:t xml:space="preserve"> </w:t>
      </w:r>
      <w:r>
        <w:rPr>
          <w:rFonts w:ascii="Arial" w:eastAsia="Arial" w:hAnsi="Arial" w:cs="Arial"/>
          <w:color w:val="000000"/>
          <w:highlight w:val="white"/>
        </w:rPr>
        <w:t xml:space="preserve">Beyond the convergence in empirical terms, each WP defines their </w:t>
      </w:r>
      <w:r w:rsidR="009F00EC">
        <w:rPr>
          <w:rFonts w:ascii="Arial" w:eastAsia="Arial" w:hAnsi="Arial" w:cs="Arial"/>
          <w:color w:val="000000"/>
          <w:highlight w:val="white"/>
        </w:rPr>
        <w:t xml:space="preserve">own ‘sub-cases’. The left-hand arrows indicate </w:t>
      </w:r>
      <w:r>
        <w:rPr>
          <w:rFonts w:ascii="Arial" w:eastAsia="Arial" w:hAnsi="Arial" w:cs="Arial"/>
          <w:color w:val="000000"/>
          <w:highlight w:val="white"/>
        </w:rPr>
        <w:t>how the respective analyses will bring forward different angles on these empirical areas, and complemetary conclusions on ‘dual transition’ dynamics and governance: C</w:t>
      </w:r>
      <w:r w:rsidR="009F00EC">
        <w:rPr>
          <w:rFonts w:ascii="Arial" w:eastAsia="Arial" w:hAnsi="Arial" w:cs="Arial"/>
          <w:color w:val="000000"/>
          <w:highlight w:val="white"/>
        </w:rPr>
        <w:t>ases will be analysed</w:t>
      </w:r>
      <w:r>
        <w:rPr>
          <w:rFonts w:ascii="Arial" w:eastAsia="Arial" w:hAnsi="Arial" w:cs="Arial"/>
          <w:color w:val="000000"/>
          <w:highlight w:val="white"/>
        </w:rPr>
        <w:t xml:space="preserve"> along different</w:t>
      </w:r>
      <w:r w:rsidR="009F00EC">
        <w:rPr>
          <w:rFonts w:ascii="Arial" w:eastAsia="Arial" w:hAnsi="Arial" w:cs="Arial"/>
          <w:color w:val="000000"/>
          <w:highlight w:val="white"/>
        </w:rPr>
        <w:t xml:space="preserve"> analytical</w:t>
      </w:r>
      <w:r>
        <w:rPr>
          <w:rFonts w:ascii="Arial" w:eastAsia="Arial" w:hAnsi="Arial" w:cs="Arial"/>
          <w:color w:val="000000"/>
          <w:highlight w:val="white"/>
        </w:rPr>
        <w:t xml:space="preserve"> themes. This may also imply different normative angles</w:t>
      </w:r>
      <w:r w:rsidR="00A74BF6">
        <w:rPr>
          <w:rFonts w:ascii="Arial" w:eastAsia="Arial" w:hAnsi="Arial" w:cs="Arial"/>
          <w:color w:val="000000"/>
          <w:highlight w:val="white"/>
        </w:rPr>
        <w:t xml:space="preserve"> on the empirics</w:t>
      </w:r>
      <w:r>
        <w:rPr>
          <w:rFonts w:ascii="Arial" w:eastAsia="Arial" w:hAnsi="Arial" w:cs="Arial"/>
          <w:color w:val="000000"/>
          <w:highlight w:val="white"/>
        </w:rPr>
        <w:t xml:space="preserve">: WP4 will highlight controversies and the diversity of desired and feared futures, WP5 starts from issues of workplace democracy, and the transitions governance analyses of WP2 start from sustainability-oriented transitions research. </w:t>
      </w:r>
    </w:p>
    <w:p w14:paraId="6467E2E6" w14:textId="77777777" w:rsidR="009F00EC" w:rsidRDefault="009F00EC" w:rsidP="009F00EC">
      <w:pPr>
        <w:spacing w:before="120" w:after="120"/>
        <w:rPr>
          <w:rFonts w:ascii="Arial" w:eastAsia="Arial" w:hAnsi="Arial" w:cs="Arial"/>
          <w:color w:val="000000"/>
          <w:highlight w:val="white"/>
        </w:rPr>
      </w:pPr>
    </w:p>
    <w:bookmarkStart w:id="15" w:name="_Toc101099965"/>
    <w:p w14:paraId="00788D57" w14:textId="750CB04D" w:rsidR="009F00EC" w:rsidRDefault="00636AA3" w:rsidP="009F00EC">
      <w:pPr>
        <w:pStyle w:val="LAMARTRAHeading2"/>
        <w:rPr>
          <w:rFonts w:eastAsia="Hind"/>
        </w:rPr>
      </w:pPr>
      <w:sdt>
        <w:sdtPr>
          <w:tag w:val="goog_rdk_16"/>
          <w:id w:val="-1920170823"/>
        </w:sdtPr>
        <w:sdtEndPr/>
        <w:sdtContent>
          <w:r w:rsidR="009F00EC">
            <w:t>4.2</w:t>
          </w:r>
          <w:r w:rsidR="009F00EC">
            <w:tab/>
          </w:r>
        </w:sdtContent>
      </w:sdt>
      <w:r w:rsidR="009F00EC">
        <w:rPr>
          <w:rFonts w:eastAsia="Hind"/>
        </w:rPr>
        <w:t>Next steps</w:t>
      </w:r>
      <w:bookmarkEnd w:id="15"/>
    </w:p>
    <w:p w14:paraId="2BD2F8C8" w14:textId="77777777" w:rsidR="009F00EC" w:rsidRDefault="009F00EC" w:rsidP="009F00EC">
      <w:pPr>
        <w:spacing w:before="120" w:after="120"/>
        <w:rPr>
          <w:rFonts w:ascii="Arial" w:eastAsia="Arial" w:hAnsi="Arial" w:cs="Arial"/>
          <w:color w:val="000000"/>
          <w:highlight w:val="white"/>
        </w:rPr>
      </w:pPr>
    </w:p>
    <w:p w14:paraId="579ED0A5" w14:textId="1C3D9247" w:rsidR="009F00EC" w:rsidRDefault="00C55098" w:rsidP="00151111">
      <w:pPr>
        <w:spacing w:before="120" w:after="120"/>
        <w:ind w:firstLine="708"/>
        <w:jc w:val="both"/>
        <w:rPr>
          <w:rFonts w:ascii="Arial" w:eastAsia="Arial" w:hAnsi="Arial" w:cs="Arial"/>
          <w:color w:val="000000"/>
          <w:highlight w:val="white"/>
        </w:rPr>
      </w:pPr>
      <w:r>
        <w:rPr>
          <w:rFonts w:ascii="Arial" w:eastAsia="Arial" w:hAnsi="Arial" w:cs="Arial"/>
          <w:color w:val="000000"/>
          <w:highlight w:val="white"/>
        </w:rPr>
        <w:t>The f</w:t>
      </w:r>
      <w:r w:rsidR="005F3F6C">
        <w:rPr>
          <w:rFonts w:ascii="Arial" w:eastAsia="Arial" w:hAnsi="Arial" w:cs="Arial"/>
          <w:color w:val="000000"/>
          <w:highlight w:val="white"/>
        </w:rPr>
        <w:t>ramework provides guidelines th</w:t>
      </w:r>
      <w:r>
        <w:rPr>
          <w:rFonts w:ascii="Arial" w:eastAsia="Arial" w:hAnsi="Arial" w:cs="Arial"/>
          <w:color w:val="000000"/>
          <w:highlight w:val="white"/>
        </w:rPr>
        <w:t xml:space="preserve"> ensure well-considered and explicit convergence across the four lines of empirical research. The work package-specific considerations indicate already that there will be many further choices to make, based on crucial considerations of data availability/access and relevance. Importantly, these are choices to make for </w:t>
      </w:r>
      <w:r w:rsidRPr="00C55098">
        <w:rPr>
          <w:rFonts w:ascii="Arial" w:eastAsia="Arial" w:hAnsi="Arial" w:cs="Arial"/>
          <w:i/>
          <w:color w:val="000000"/>
          <w:highlight w:val="white"/>
        </w:rPr>
        <w:t>four</w:t>
      </w:r>
      <w:r>
        <w:rPr>
          <w:rFonts w:ascii="Arial" w:eastAsia="Arial" w:hAnsi="Arial" w:cs="Arial"/>
          <w:color w:val="000000"/>
          <w:highlight w:val="white"/>
        </w:rPr>
        <w:t xml:space="preserve"> cases – each of which poses particular research challenges. These WP-specific choices will be elaborated through task 5.1, </w:t>
      </w:r>
      <w:r w:rsidR="005B1D30">
        <w:rPr>
          <w:rFonts w:ascii="Arial" w:eastAsia="Arial" w:hAnsi="Arial" w:cs="Arial"/>
          <w:color w:val="000000"/>
          <w:highlight w:val="white"/>
        </w:rPr>
        <w:t xml:space="preserve">task 4.2, tasks 3.2 and 3.3., and </w:t>
      </w:r>
      <w:r w:rsidR="005B1D30">
        <w:rPr>
          <w:rFonts w:ascii="Arial" w:eastAsia="Arial" w:hAnsi="Arial" w:cs="Arial"/>
          <w:color w:val="000000"/>
        </w:rPr>
        <w:t xml:space="preserve">deliverable </w:t>
      </w:r>
      <w:r w:rsidR="005B1D30" w:rsidRPr="005B1D30">
        <w:rPr>
          <w:rFonts w:ascii="Arial" w:eastAsia="Arial" w:hAnsi="Arial" w:cs="Arial"/>
          <w:color w:val="000000"/>
        </w:rPr>
        <w:t xml:space="preserve">2.3.1 </w:t>
      </w:r>
      <w:r w:rsidR="005B1D30">
        <w:rPr>
          <w:rFonts w:ascii="Arial" w:eastAsia="Arial" w:hAnsi="Arial" w:cs="Arial"/>
          <w:color w:val="000000"/>
        </w:rPr>
        <w:t>(‘m</w:t>
      </w:r>
      <w:r w:rsidR="005B1D30" w:rsidRPr="005B1D30">
        <w:rPr>
          <w:rFonts w:ascii="Arial" w:eastAsia="Arial" w:hAnsi="Arial" w:cs="Arial"/>
          <w:color w:val="000000"/>
        </w:rPr>
        <w:t>ethodological protocol for transitions governance analysis</w:t>
      </w:r>
      <w:r w:rsidR="005B1D30">
        <w:rPr>
          <w:rFonts w:ascii="Arial" w:eastAsia="Arial" w:hAnsi="Arial" w:cs="Arial"/>
          <w:color w:val="000000"/>
        </w:rPr>
        <w:t xml:space="preserve">’). </w:t>
      </w:r>
    </w:p>
    <w:p w14:paraId="02B733EE" w14:textId="5E563843" w:rsidR="009F00EC" w:rsidRDefault="00151111" w:rsidP="00151111">
      <w:pPr>
        <w:spacing w:before="120" w:after="120"/>
        <w:jc w:val="both"/>
        <w:rPr>
          <w:rFonts w:ascii="Arial" w:eastAsia="Arial" w:hAnsi="Arial" w:cs="Arial"/>
          <w:color w:val="000000"/>
          <w:highlight w:val="white"/>
        </w:rPr>
      </w:pPr>
      <w:r>
        <w:rPr>
          <w:rFonts w:ascii="Arial" w:eastAsia="Arial" w:hAnsi="Arial" w:cs="Arial"/>
          <w:color w:val="000000"/>
          <w:highlight w:val="white"/>
        </w:rPr>
        <w:tab/>
        <w:t xml:space="preserve">Another next step is the development of </w:t>
      </w:r>
      <w:r>
        <w:rPr>
          <w:rFonts w:ascii="Arial" w:eastAsia="Arial" w:hAnsi="Arial" w:cs="Arial"/>
          <w:color w:val="000000"/>
        </w:rPr>
        <w:t>a conference</w:t>
      </w:r>
      <w:r w:rsidRPr="00151111">
        <w:rPr>
          <w:rFonts w:ascii="Arial" w:eastAsia="Arial" w:hAnsi="Arial" w:cs="Arial"/>
          <w:color w:val="000000"/>
        </w:rPr>
        <w:t xml:space="preserve"> paper on</w:t>
      </w:r>
      <w:r>
        <w:rPr>
          <w:rFonts w:ascii="Arial" w:eastAsia="Arial" w:hAnsi="Arial" w:cs="Arial"/>
          <w:color w:val="000000"/>
        </w:rPr>
        <w:t xml:space="preserve"> LAMARTRA’s</w:t>
      </w:r>
      <w:r w:rsidRPr="00151111">
        <w:rPr>
          <w:rFonts w:ascii="Arial" w:eastAsia="Arial" w:hAnsi="Arial" w:cs="Arial"/>
          <w:color w:val="000000"/>
        </w:rPr>
        <w:t xml:space="preserve"> interdisciplinary methodological approach (</w:t>
      </w:r>
      <w:r>
        <w:rPr>
          <w:rFonts w:ascii="Arial" w:eastAsia="Arial" w:hAnsi="Arial" w:cs="Arial"/>
          <w:color w:val="000000"/>
        </w:rPr>
        <w:t xml:space="preserve">D2.1.2, scheduled for </w:t>
      </w:r>
      <w:r w:rsidRPr="00151111">
        <w:rPr>
          <w:rFonts w:ascii="Arial" w:eastAsia="Arial" w:hAnsi="Arial" w:cs="Arial"/>
          <w:color w:val="000000"/>
        </w:rPr>
        <w:t>M18)</w:t>
      </w:r>
      <w:r>
        <w:rPr>
          <w:rFonts w:ascii="Arial" w:eastAsia="Arial" w:hAnsi="Arial" w:cs="Arial"/>
          <w:color w:val="000000"/>
        </w:rPr>
        <w:t xml:space="preserve">. Qua methods and angles on the ‘dual’ transition, the project is arguably more than the sum of the parts.There important pending questions on how the topic – the transition dynamics but also the associated governance, can be quantified and understood. The paper will be fed through regular discussions of both empirical findings as well as methodlogical issues. </w:t>
      </w:r>
    </w:p>
    <w:p w14:paraId="494FF57F" w14:textId="77777777" w:rsidR="009F00EC" w:rsidRDefault="009F00EC" w:rsidP="009F00EC">
      <w:pPr>
        <w:rPr>
          <w:rFonts w:ascii="Hind" w:eastAsia="Hind" w:hAnsi="Hind" w:cs="Hind"/>
          <w:b/>
          <w:color w:val="115868"/>
          <w:sz w:val="32"/>
          <w:szCs w:val="32"/>
        </w:rPr>
      </w:pPr>
      <w:r>
        <w:br w:type="page"/>
      </w:r>
    </w:p>
    <w:p w14:paraId="1B89E049" w14:textId="77777777" w:rsidR="009F00EC" w:rsidRDefault="009F00EC" w:rsidP="005B1D30">
      <w:pPr>
        <w:pStyle w:val="LAMARTRAHeading1"/>
        <w:rPr>
          <w:rFonts w:eastAsia="Hind"/>
        </w:rPr>
      </w:pPr>
      <w:bookmarkStart w:id="16" w:name="_Toc101099966"/>
      <w:r>
        <w:rPr>
          <w:rFonts w:eastAsia="Hind"/>
        </w:rPr>
        <w:lastRenderedPageBreak/>
        <w:t>References</w:t>
      </w:r>
      <w:bookmarkEnd w:id="16"/>
    </w:p>
    <w:p w14:paraId="136DFE27" w14:textId="77777777" w:rsidR="009F00EC" w:rsidRDefault="009F00EC" w:rsidP="009F00EC">
      <w:pPr>
        <w:spacing w:before="120" w:after="120" w:line="259" w:lineRule="auto"/>
        <w:ind w:firstLine="426"/>
        <w:jc w:val="both"/>
        <w:rPr>
          <w:rFonts w:ascii="Arial" w:eastAsia="Arial" w:hAnsi="Arial" w:cs="Arial"/>
          <w:color w:val="222222"/>
          <w:highlight w:val="white"/>
        </w:rPr>
      </w:pPr>
      <w:r>
        <w:rPr>
          <w:rFonts w:ascii="Arial" w:eastAsia="Arial" w:hAnsi="Arial" w:cs="Arial"/>
          <w:color w:val="222222"/>
          <w:highlight w:val="white"/>
        </w:rPr>
        <w:t>Adam, Barbara (2008). Of Timescapes, Futurescapes and Timeprints, Lüneburg University, 2008.</w:t>
      </w:r>
    </w:p>
    <w:p w14:paraId="7DBBE964" w14:textId="77777777" w:rsidR="009F00EC" w:rsidRDefault="009F00EC" w:rsidP="009F00EC">
      <w:pPr>
        <w:spacing w:before="120" w:after="120" w:line="259" w:lineRule="auto"/>
        <w:ind w:firstLine="426"/>
        <w:jc w:val="both"/>
        <w:rPr>
          <w:rFonts w:ascii="Arial" w:eastAsia="Arial" w:hAnsi="Arial" w:cs="Arial"/>
          <w:color w:val="222222"/>
          <w:highlight w:val="white"/>
        </w:rPr>
      </w:pPr>
      <w:r>
        <w:rPr>
          <w:rFonts w:ascii="Arial" w:eastAsia="Arial" w:hAnsi="Arial" w:cs="Arial"/>
          <w:color w:val="222222"/>
          <w:highlight w:val="white"/>
        </w:rPr>
        <w:t>Bridge, Gavin, Begüm Özkaynak, et Ethemcan Turhan (2018). Energy infrastructure and the fate of the nation: Introduction to special issue. Energy Research &amp; Social Science, 41 (July 2018): 1 11.</w:t>
      </w:r>
      <w:hyperlink r:id="rId13">
        <w:r>
          <w:rPr>
            <w:rFonts w:ascii="Arial" w:eastAsia="Arial" w:hAnsi="Arial" w:cs="Arial"/>
            <w:color w:val="222222"/>
            <w:highlight w:val="white"/>
          </w:rPr>
          <w:t xml:space="preserve"> </w:t>
        </w:r>
      </w:hyperlink>
      <w:hyperlink r:id="rId14">
        <w:r>
          <w:rPr>
            <w:rFonts w:ascii="Arial" w:eastAsia="Arial" w:hAnsi="Arial" w:cs="Arial"/>
            <w:color w:val="1155CC"/>
            <w:highlight w:val="white"/>
            <w:u w:val="single"/>
          </w:rPr>
          <w:t>https://doi.org/10.1016/j.erss.2018.04.029</w:t>
        </w:r>
      </w:hyperlink>
      <w:r>
        <w:rPr>
          <w:rFonts w:ascii="Arial" w:eastAsia="Arial" w:hAnsi="Arial" w:cs="Arial"/>
          <w:color w:val="222222"/>
          <w:highlight w:val="white"/>
        </w:rPr>
        <w:t>.</w:t>
      </w:r>
    </w:p>
    <w:p w14:paraId="2CF5AF9E" w14:textId="77777777" w:rsidR="009F00EC" w:rsidRDefault="009F00EC" w:rsidP="009F00EC">
      <w:pPr>
        <w:spacing w:before="120" w:after="120" w:line="259" w:lineRule="auto"/>
        <w:ind w:firstLine="426"/>
        <w:jc w:val="both"/>
        <w:rPr>
          <w:rFonts w:ascii="Arial" w:eastAsia="Arial" w:hAnsi="Arial" w:cs="Arial"/>
        </w:rPr>
      </w:pPr>
      <w:r>
        <w:rPr>
          <w:rFonts w:ascii="Arial" w:eastAsia="Arial" w:hAnsi="Arial" w:cs="Arial"/>
          <w:color w:val="222222"/>
          <w:highlight w:val="white"/>
        </w:rPr>
        <w:t xml:space="preserve">Byrne, D., &amp; Ragin, C. C. (2009). </w:t>
      </w:r>
      <w:r>
        <w:rPr>
          <w:rFonts w:ascii="Arial" w:eastAsia="Arial" w:hAnsi="Arial" w:cs="Arial"/>
          <w:i/>
          <w:color w:val="222222"/>
          <w:highlight w:val="white"/>
        </w:rPr>
        <w:t>The Sage handbook of case-based methods</w:t>
      </w:r>
      <w:r>
        <w:rPr>
          <w:rFonts w:ascii="Arial" w:eastAsia="Arial" w:hAnsi="Arial" w:cs="Arial"/>
          <w:color w:val="222222"/>
          <w:highlight w:val="white"/>
        </w:rPr>
        <w:t>. Sage Publications.</w:t>
      </w:r>
    </w:p>
    <w:p w14:paraId="685F17D6" w14:textId="77777777" w:rsidR="009F00EC" w:rsidRDefault="009F00EC" w:rsidP="009F00EC">
      <w:pPr>
        <w:spacing w:before="120" w:after="120" w:line="259" w:lineRule="auto"/>
        <w:ind w:firstLine="426"/>
        <w:jc w:val="both"/>
        <w:rPr>
          <w:rFonts w:ascii="Arial" w:eastAsia="Arial" w:hAnsi="Arial" w:cs="Arial"/>
        </w:rPr>
      </w:pPr>
      <w:r>
        <w:rPr>
          <w:rFonts w:ascii="Arial" w:eastAsia="Arial" w:hAnsi="Arial" w:cs="Arial"/>
          <w:color w:val="222222"/>
          <w:highlight w:val="white"/>
        </w:rPr>
        <w:t xml:space="preserve">Collier, D., LaPorte, J., &amp; Seawright, J. (2012). Putting typologies to work: Concept formation, measurement, and analytic rigor. </w:t>
      </w:r>
      <w:r>
        <w:rPr>
          <w:rFonts w:ascii="Arial" w:eastAsia="Arial" w:hAnsi="Arial" w:cs="Arial"/>
          <w:i/>
          <w:color w:val="222222"/>
          <w:highlight w:val="white"/>
        </w:rPr>
        <w:t>Political Research Quarterly</w:t>
      </w:r>
      <w:r>
        <w:rPr>
          <w:rFonts w:ascii="Arial" w:eastAsia="Arial" w:hAnsi="Arial" w:cs="Arial"/>
          <w:color w:val="222222"/>
          <w:highlight w:val="white"/>
        </w:rPr>
        <w:t xml:space="preserve">, </w:t>
      </w:r>
      <w:r>
        <w:rPr>
          <w:rFonts w:ascii="Arial" w:eastAsia="Arial" w:hAnsi="Arial" w:cs="Arial"/>
          <w:i/>
          <w:color w:val="222222"/>
          <w:highlight w:val="white"/>
        </w:rPr>
        <w:t>65</w:t>
      </w:r>
      <w:r>
        <w:rPr>
          <w:rFonts w:ascii="Arial" w:eastAsia="Arial" w:hAnsi="Arial" w:cs="Arial"/>
          <w:color w:val="222222"/>
          <w:highlight w:val="white"/>
        </w:rPr>
        <w:t>(1), 217-232.</w:t>
      </w:r>
    </w:p>
    <w:p w14:paraId="23226BF9" w14:textId="77777777" w:rsidR="009F00EC" w:rsidRDefault="009F00EC" w:rsidP="009F00EC">
      <w:pPr>
        <w:spacing w:before="120" w:after="120" w:line="259" w:lineRule="auto"/>
        <w:ind w:firstLine="426"/>
        <w:jc w:val="both"/>
        <w:rPr>
          <w:rFonts w:ascii="Arial" w:eastAsia="Arial" w:hAnsi="Arial" w:cs="Arial"/>
          <w:color w:val="222222"/>
          <w:highlight w:val="white"/>
        </w:rPr>
      </w:pPr>
      <w:r>
        <w:rPr>
          <w:rFonts w:ascii="Arial" w:eastAsia="Arial" w:hAnsi="Arial" w:cs="Arial"/>
          <w:color w:val="222222"/>
          <w:highlight w:val="white"/>
        </w:rPr>
        <w:t xml:space="preserve">Fligstein, N., &amp; McAdam, D. (2011). Toward a general theory of strategic action fields. </w:t>
      </w:r>
      <w:r>
        <w:rPr>
          <w:rFonts w:ascii="Arial" w:eastAsia="Arial" w:hAnsi="Arial" w:cs="Arial"/>
          <w:i/>
          <w:color w:val="222222"/>
          <w:highlight w:val="white"/>
        </w:rPr>
        <w:t>Sociological theory</w:t>
      </w:r>
      <w:r>
        <w:rPr>
          <w:rFonts w:ascii="Arial" w:eastAsia="Arial" w:hAnsi="Arial" w:cs="Arial"/>
          <w:color w:val="222222"/>
          <w:highlight w:val="white"/>
        </w:rPr>
        <w:t xml:space="preserve">, </w:t>
      </w:r>
      <w:r>
        <w:rPr>
          <w:rFonts w:ascii="Arial" w:eastAsia="Arial" w:hAnsi="Arial" w:cs="Arial"/>
          <w:i/>
          <w:color w:val="222222"/>
          <w:highlight w:val="white"/>
        </w:rPr>
        <w:t>29</w:t>
      </w:r>
      <w:r>
        <w:rPr>
          <w:rFonts w:ascii="Arial" w:eastAsia="Arial" w:hAnsi="Arial" w:cs="Arial"/>
          <w:color w:val="222222"/>
          <w:highlight w:val="white"/>
        </w:rPr>
        <w:t>(1), 1-26.</w:t>
      </w:r>
    </w:p>
    <w:p w14:paraId="7A94F344" w14:textId="77777777" w:rsidR="009F00EC" w:rsidRDefault="009F00EC" w:rsidP="009F00EC">
      <w:pPr>
        <w:spacing w:before="120" w:after="120" w:line="259" w:lineRule="auto"/>
        <w:ind w:firstLine="426"/>
        <w:jc w:val="both"/>
        <w:rPr>
          <w:rFonts w:ascii="Arial" w:eastAsia="Arial" w:hAnsi="Arial" w:cs="Arial"/>
          <w:color w:val="222222"/>
          <w:highlight w:val="white"/>
        </w:rPr>
      </w:pPr>
      <w:r>
        <w:rPr>
          <w:rFonts w:ascii="Arial" w:eastAsia="Arial" w:hAnsi="Arial" w:cs="Arial"/>
          <w:color w:val="222222"/>
          <w:highlight w:val="white"/>
        </w:rPr>
        <w:t xml:space="preserve">Flyvbjerg, Bent (2006). Five Misunderstandings About Case-Study Research. </w:t>
      </w:r>
      <w:r>
        <w:rPr>
          <w:rFonts w:ascii="Arial" w:eastAsia="Arial" w:hAnsi="Arial" w:cs="Arial"/>
          <w:i/>
          <w:color w:val="222222"/>
          <w:highlight w:val="white"/>
        </w:rPr>
        <w:t>Qualitative Inquiry</w:t>
      </w:r>
      <w:r>
        <w:rPr>
          <w:rFonts w:ascii="Arial" w:eastAsia="Arial" w:hAnsi="Arial" w:cs="Arial"/>
          <w:color w:val="222222"/>
          <w:highlight w:val="white"/>
        </w:rPr>
        <w:t xml:space="preserve"> 12: 219</w:t>
      </w:r>
      <w:r>
        <w:rPr>
          <w:rFonts w:ascii="Cambria Math" w:eastAsia="Cambria Math" w:hAnsi="Cambria Math" w:cs="Cambria Math"/>
          <w:color w:val="222222"/>
          <w:highlight w:val="white"/>
        </w:rPr>
        <w:t>‑</w:t>
      </w:r>
      <w:r>
        <w:rPr>
          <w:rFonts w:ascii="Arial" w:eastAsia="Arial" w:hAnsi="Arial" w:cs="Arial"/>
          <w:color w:val="222222"/>
          <w:highlight w:val="white"/>
        </w:rPr>
        <w:t>45.</w:t>
      </w:r>
      <w:hyperlink r:id="rId15">
        <w:r>
          <w:rPr>
            <w:rFonts w:ascii="Arial" w:eastAsia="Arial" w:hAnsi="Arial" w:cs="Arial"/>
            <w:color w:val="222222"/>
            <w:highlight w:val="white"/>
          </w:rPr>
          <w:t xml:space="preserve"> </w:t>
        </w:r>
      </w:hyperlink>
      <w:hyperlink r:id="rId16">
        <w:r>
          <w:rPr>
            <w:rFonts w:ascii="Arial" w:eastAsia="Arial" w:hAnsi="Arial" w:cs="Arial"/>
            <w:color w:val="1155CC"/>
            <w:highlight w:val="white"/>
            <w:u w:val="single"/>
          </w:rPr>
          <w:t>https://doi.org/10.1177/1077800405284363</w:t>
        </w:r>
      </w:hyperlink>
      <w:r>
        <w:rPr>
          <w:rFonts w:ascii="Arial" w:eastAsia="Arial" w:hAnsi="Arial" w:cs="Arial"/>
          <w:color w:val="222222"/>
          <w:highlight w:val="white"/>
        </w:rPr>
        <w:t>.</w:t>
      </w:r>
    </w:p>
    <w:p w14:paraId="3F45604E" w14:textId="77777777" w:rsidR="009F00EC" w:rsidRDefault="009F00EC" w:rsidP="009F00EC">
      <w:pPr>
        <w:spacing w:before="120" w:after="120" w:line="259" w:lineRule="auto"/>
        <w:ind w:firstLine="426"/>
        <w:jc w:val="both"/>
        <w:rPr>
          <w:rFonts w:ascii="Arial" w:eastAsia="Arial" w:hAnsi="Arial" w:cs="Arial"/>
          <w:color w:val="222222"/>
          <w:highlight w:val="white"/>
        </w:rPr>
      </w:pPr>
      <w:r w:rsidRPr="00614BBE">
        <w:rPr>
          <w:rFonts w:ascii="Arial" w:eastAsia="Arial" w:hAnsi="Arial" w:cs="Arial"/>
          <w:color w:val="222222"/>
        </w:rPr>
        <w:t>Garud, R., &amp; Gehman, J. (2012). Metatheoretical perspectives on sustainability journeys: Evolutionary, relational and durational. Research policy, 41(6), 980-995.</w:t>
      </w:r>
    </w:p>
    <w:p w14:paraId="638C59B0" w14:textId="77777777" w:rsidR="009F00EC" w:rsidRDefault="009F00EC" w:rsidP="009F00EC">
      <w:pPr>
        <w:spacing w:before="120" w:after="120" w:line="259" w:lineRule="auto"/>
        <w:ind w:firstLine="426"/>
        <w:jc w:val="both"/>
        <w:rPr>
          <w:rFonts w:ascii="Arial" w:eastAsia="Arial" w:hAnsi="Arial" w:cs="Arial"/>
          <w:color w:val="222222"/>
          <w:highlight w:val="white"/>
        </w:rPr>
      </w:pPr>
      <w:r>
        <w:rPr>
          <w:rFonts w:ascii="Arial" w:eastAsia="Arial" w:hAnsi="Arial" w:cs="Arial"/>
          <w:color w:val="222222"/>
          <w:highlight w:val="white"/>
        </w:rPr>
        <w:t>Geels, F. W. (2002)</w:t>
      </w:r>
      <w:proofErr w:type="gramStart"/>
      <w:r>
        <w:rPr>
          <w:rFonts w:ascii="Arial" w:eastAsia="Arial" w:hAnsi="Arial" w:cs="Arial"/>
          <w:color w:val="222222"/>
          <w:highlight w:val="white"/>
        </w:rPr>
        <w:t>,Technological</w:t>
      </w:r>
      <w:proofErr w:type="gramEnd"/>
      <w:r>
        <w:rPr>
          <w:rFonts w:ascii="Arial" w:eastAsia="Arial" w:hAnsi="Arial" w:cs="Arial"/>
          <w:color w:val="222222"/>
          <w:highlight w:val="white"/>
        </w:rPr>
        <w:t xml:space="preserve"> transitions as evolutionary reconfiguration processes: A multi-level perspective and a case-study. </w:t>
      </w:r>
      <w:r>
        <w:rPr>
          <w:rFonts w:ascii="Arial" w:eastAsia="Arial" w:hAnsi="Arial" w:cs="Arial"/>
          <w:i/>
          <w:color w:val="222222"/>
          <w:highlight w:val="white"/>
        </w:rPr>
        <w:t>Research Policy</w:t>
      </w:r>
      <w:r>
        <w:rPr>
          <w:rFonts w:ascii="Arial" w:eastAsia="Arial" w:hAnsi="Arial" w:cs="Arial"/>
          <w:color w:val="222222"/>
          <w:highlight w:val="white"/>
        </w:rPr>
        <w:t xml:space="preserve"> 31: 1257</w:t>
      </w:r>
      <w:r>
        <w:rPr>
          <w:rFonts w:ascii="Cambria Math" w:eastAsia="Cambria Math" w:hAnsi="Cambria Math" w:cs="Cambria Math"/>
          <w:color w:val="222222"/>
          <w:highlight w:val="white"/>
        </w:rPr>
        <w:t>‑</w:t>
      </w:r>
      <w:r>
        <w:rPr>
          <w:rFonts w:ascii="Arial" w:eastAsia="Arial" w:hAnsi="Arial" w:cs="Arial"/>
          <w:color w:val="222222"/>
          <w:highlight w:val="white"/>
        </w:rPr>
        <w:t>74.</w:t>
      </w:r>
    </w:p>
    <w:p w14:paraId="1A59AE79" w14:textId="77777777" w:rsidR="009F00EC" w:rsidRDefault="009F00EC" w:rsidP="009F00EC">
      <w:pPr>
        <w:spacing w:before="120" w:after="120" w:line="259" w:lineRule="auto"/>
        <w:ind w:firstLine="426"/>
        <w:jc w:val="both"/>
        <w:rPr>
          <w:rFonts w:ascii="Arial" w:eastAsia="Arial" w:hAnsi="Arial" w:cs="Arial"/>
        </w:rPr>
      </w:pPr>
      <w:r>
        <w:rPr>
          <w:rFonts w:ascii="Arial" w:eastAsia="Arial" w:hAnsi="Arial" w:cs="Arial"/>
          <w:color w:val="222222"/>
          <w:highlight w:val="white"/>
        </w:rPr>
        <w:t xml:space="preserve">Geels, F. W., &amp; Schot, J. (2010). The dynamics of transitions: a socio-technical perspective. </w:t>
      </w:r>
      <w:r>
        <w:rPr>
          <w:rFonts w:ascii="Arial" w:eastAsia="Arial" w:hAnsi="Arial" w:cs="Arial"/>
          <w:i/>
          <w:color w:val="222222"/>
          <w:highlight w:val="white"/>
        </w:rPr>
        <w:t>Transitions to sustainable development: New directions in the study of long term transformative change</w:t>
      </w:r>
      <w:r>
        <w:rPr>
          <w:rFonts w:ascii="Arial" w:eastAsia="Arial" w:hAnsi="Arial" w:cs="Arial"/>
          <w:color w:val="222222"/>
          <w:highlight w:val="white"/>
        </w:rPr>
        <w:t>, 11-104.</w:t>
      </w:r>
    </w:p>
    <w:p w14:paraId="7D872342" w14:textId="77777777" w:rsidR="009F00EC" w:rsidRDefault="009F00EC" w:rsidP="009F00EC">
      <w:pPr>
        <w:spacing w:before="120" w:after="120" w:line="259" w:lineRule="auto"/>
        <w:ind w:firstLine="426"/>
        <w:jc w:val="both"/>
        <w:rPr>
          <w:rFonts w:ascii="Arial" w:eastAsia="Arial" w:hAnsi="Arial" w:cs="Arial"/>
        </w:rPr>
      </w:pPr>
      <w:r>
        <w:rPr>
          <w:rFonts w:ascii="Arial" w:eastAsia="Arial" w:hAnsi="Arial" w:cs="Arial"/>
        </w:rPr>
        <w:t xml:space="preserve">Hassenteufel, Patrick. « De la comparaison international à la comparaison transnationale. Les déplacements de la construction d’objets comparatifs en matière de politiques publiques. » </w:t>
      </w:r>
      <w:r>
        <w:rPr>
          <w:rFonts w:ascii="Arial" w:eastAsia="Arial" w:hAnsi="Arial" w:cs="Arial"/>
          <w:i/>
        </w:rPr>
        <w:t>Revue française de science politique</w:t>
      </w:r>
      <w:r>
        <w:rPr>
          <w:rFonts w:ascii="Arial" w:eastAsia="Arial" w:hAnsi="Arial" w:cs="Arial"/>
        </w:rPr>
        <w:t xml:space="preserve"> 55 (2005): 113</w:t>
      </w:r>
      <w:r>
        <w:rPr>
          <w:rFonts w:ascii="Cambria Math" w:eastAsia="Cambria Math" w:hAnsi="Cambria Math" w:cs="Cambria Math"/>
        </w:rPr>
        <w:t>‑</w:t>
      </w:r>
      <w:r>
        <w:rPr>
          <w:rFonts w:ascii="Arial" w:eastAsia="Arial" w:hAnsi="Arial" w:cs="Arial"/>
        </w:rPr>
        <w:t>32.</w:t>
      </w:r>
    </w:p>
    <w:p w14:paraId="446089DF" w14:textId="77777777" w:rsidR="009F00EC" w:rsidRDefault="009F00EC" w:rsidP="009F00EC">
      <w:pPr>
        <w:spacing w:before="120" w:after="120" w:line="259" w:lineRule="auto"/>
        <w:ind w:firstLine="426"/>
        <w:jc w:val="both"/>
        <w:rPr>
          <w:rFonts w:ascii="Arial" w:eastAsia="Arial" w:hAnsi="Arial" w:cs="Arial"/>
          <w:color w:val="222222"/>
          <w:highlight w:val="white"/>
        </w:rPr>
      </w:pPr>
      <w:r>
        <w:rPr>
          <w:rFonts w:ascii="Arial" w:eastAsia="Arial" w:hAnsi="Arial" w:cs="Arial"/>
          <w:color w:val="222222"/>
          <w:highlight w:val="white"/>
        </w:rPr>
        <w:t xml:space="preserve">Heinich, Nathalie (2020). A Pragmatic Redefinition of Value(s): Toward a General Model of Valuation. Theory, Culture &amp; Society 37: 5, 75-94. </w:t>
      </w:r>
      <w:hyperlink r:id="rId17" w:history="1">
        <w:r w:rsidRPr="00C75812">
          <w:rPr>
            <w:rStyle w:val="Hyperlink"/>
            <w:rFonts w:ascii="Arial" w:eastAsia="Arial" w:hAnsi="Arial" w:cs="Arial"/>
            <w:highlight w:val="white"/>
          </w:rPr>
          <w:t>https://doi.org/10.1177/0263276420915993</w:t>
        </w:r>
      </w:hyperlink>
      <w:r>
        <w:rPr>
          <w:rFonts w:ascii="Arial" w:eastAsia="Arial" w:hAnsi="Arial" w:cs="Arial"/>
          <w:color w:val="222222"/>
          <w:highlight w:val="white"/>
        </w:rPr>
        <w:t xml:space="preserve"> </w:t>
      </w:r>
    </w:p>
    <w:p w14:paraId="46960342" w14:textId="77777777" w:rsidR="009F00EC" w:rsidRDefault="009F00EC" w:rsidP="009F00EC">
      <w:pPr>
        <w:spacing w:before="120" w:after="120" w:line="259" w:lineRule="auto"/>
        <w:ind w:firstLine="426"/>
        <w:jc w:val="both"/>
        <w:rPr>
          <w:rFonts w:ascii="Arial" w:eastAsia="Arial" w:hAnsi="Arial" w:cs="Arial"/>
        </w:rPr>
      </w:pPr>
      <w:r>
        <w:rPr>
          <w:rFonts w:ascii="Arial" w:eastAsia="Arial" w:hAnsi="Arial" w:cs="Arial"/>
        </w:rPr>
        <w:t>Jørgensen, U. (2012). Mapping and navigating transitions—The multi-level perspective compared with arenas of development. Research Policy, 41(6), 996-1010.</w:t>
      </w:r>
    </w:p>
    <w:p w14:paraId="0407CD40" w14:textId="77777777" w:rsidR="009F00EC" w:rsidRDefault="009F00EC" w:rsidP="009F00EC">
      <w:pPr>
        <w:spacing w:before="120" w:after="120" w:line="259" w:lineRule="auto"/>
        <w:ind w:firstLine="426"/>
        <w:jc w:val="both"/>
        <w:rPr>
          <w:rFonts w:ascii="Arial" w:eastAsia="Arial" w:hAnsi="Arial" w:cs="Arial"/>
        </w:rPr>
      </w:pPr>
      <w:r w:rsidRPr="00614BBE">
        <w:rPr>
          <w:rFonts w:ascii="Arial" w:eastAsia="Arial" w:hAnsi="Arial" w:cs="Arial"/>
        </w:rPr>
        <w:t>Kivimaa, P., &amp; Kern, F. (2016). Creative destruction or mere niche support? Innovation policy mixes for sustainability transitions. Research Policy, 45(1), 205-217.</w:t>
      </w:r>
    </w:p>
    <w:p w14:paraId="3A59D4A9" w14:textId="77777777" w:rsidR="009F00EC" w:rsidRDefault="009F00EC" w:rsidP="009F00EC">
      <w:pPr>
        <w:spacing w:before="120" w:after="120" w:line="259" w:lineRule="auto"/>
        <w:ind w:firstLine="426"/>
        <w:jc w:val="both"/>
        <w:rPr>
          <w:rFonts w:ascii="Arial" w:eastAsia="Arial" w:hAnsi="Arial" w:cs="Arial"/>
        </w:rPr>
      </w:pPr>
      <w:r>
        <w:rPr>
          <w:rFonts w:ascii="Arial" w:eastAsia="Arial" w:hAnsi="Arial" w:cs="Arial"/>
        </w:rPr>
        <w:t xml:space="preserve">Köhler, J., Geels, F, Kern, F, Onsongo, E, Wieczorek, AJ, Alkemade, F, Avelino, F, Bergek, A, Boons, F, Fuenfschilling, L, Hess, D, Holtz, G, Hyysalo, Sa, Jenkins, K, Kivimaa, P, Markard, J, Martiskainen, M, McMeekin, A, Mühlemeier, MS, Nykvist, B, Pel, B, Raven, R, Rohracher, H, Sanden, B, Schot, J, Sovacool, B, Turnheim, B, Van den Bergh, J, Welch, D and Wells, P (2019). An agenda for sustainability transitions </w:t>
      </w:r>
      <w:r>
        <w:rPr>
          <w:rFonts w:ascii="Arial" w:eastAsia="Arial" w:hAnsi="Arial" w:cs="Arial"/>
        </w:rPr>
        <w:lastRenderedPageBreak/>
        <w:t xml:space="preserve">research: state of the art and future directions. Environmental Innovation and Societal Transitions, Vol. 31 (June 2019) 1-32, </w:t>
      </w:r>
      <w:hyperlink r:id="rId18">
        <w:r>
          <w:rPr>
            <w:rFonts w:ascii="Arial" w:eastAsia="Arial" w:hAnsi="Arial" w:cs="Arial"/>
            <w:color w:val="1155CC"/>
            <w:u w:val="single"/>
          </w:rPr>
          <w:t>https://doi.org/10.1016/j.eist.2019.01.004</w:t>
        </w:r>
      </w:hyperlink>
    </w:p>
    <w:p w14:paraId="23402B04" w14:textId="77777777" w:rsidR="009F00EC" w:rsidRDefault="009F00EC" w:rsidP="009F00EC">
      <w:pPr>
        <w:spacing w:before="120" w:after="120" w:line="259" w:lineRule="auto"/>
        <w:ind w:firstLine="426"/>
        <w:jc w:val="both"/>
        <w:rPr>
          <w:rFonts w:ascii="Arial" w:eastAsia="Arial" w:hAnsi="Arial" w:cs="Arial"/>
          <w:color w:val="222222"/>
          <w:highlight w:val="white"/>
        </w:rPr>
      </w:pPr>
      <w:r>
        <w:rPr>
          <w:rFonts w:ascii="Arial" w:eastAsia="Arial" w:hAnsi="Arial" w:cs="Arial"/>
          <w:color w:val="222222"/>
          <w:highlight w:val="white"/>
        </w:rPr>
        <w:t xml:space="preserve">Leunbach, Rosa Nan, et Kristian H. Nielsen (2020). Exploring the Dialogical Space of Hybrid Forums: The “Predictably Unpredictable” Case of Radioactive Waste Management in Denmark, 2003-2018. </w:t>
      </w:r>
      <w:r>
        <w:rPr>
          <w:rFonts w:ascii="Arial" w:eastAsia="Arial" w:hAnsi="Arial" w:cs="Arial"/>
          <w:i/>
          <w:color w:val="222222"/>
          <w:highlight w:val="white"/>
        </w:rPr>
        <w:t>Bulletin of Science, Technology &amp; Society</w:t>
      </w:r>
      <w:r>
        <w:rPr>
          <w:rFonts w:ascii="Arial" w:eastAsia="Arial" w:hAnsi="Arial" w:cs="Arial"/>
          <w:color w:val="222222"/>
          <w:highlight w:val="white"/>
        </w:rPr>
        <w:t>, 19, 0270467620932831.</w:t>
      </w:r>
      <w:hyperlink r:id="rId19">
        <w:r>
          <w:rPr>
            <w:rFonts w:ascii="Arial" w:eastAsia="Arial" w:hAnsi="Arial" w:cs="Arial"/>
            <w:color w:val="222222"/>
            <w:highlight w:val="white"/>
          </w:rPr>
          <w:t xml:space="preserve"> </w:t>
        </w:r>
      </w:hyperlink>
      <w:hyperlink r:id="rId20">
        <w:r>
          <w:rPr>
            <w:rFonts w:ascii="Arial" w:eastAsia="Arial" w:hAnsi="Arial" w:cs="Arial"/>
            <w:color w:val="1155CC"/>
            <w:highlight w:val="white"/>
            <w:u w:val="single"/>
          </w:rPr>
          <w:t>https://doi.org/10.1177/0270467620932831</w:t>
        </w:r>
      </w:hyperlink>
      <w:r>
        <w:rPr>
          <w:rFonts w:ascii="Arial" w:eastAsia="Arial" w:hAnsi="Arial" w:cs="Arial"/>
          <w:color w:val="222222"/>
          <w:highlight w:val="white"/>
        </w:rPr>
        <w:t>.</w:t>
      </w:r>
    </w:p>
    <w:p w14:paraId="6FBF0733" w14:textId="77777777" w:rsidR="009F00EC" w:rsidRDefault="009F00EC" w:rsidP="009F00EC">
      <w:pPr>
        <w:spacing w:before="120" w:after="120" w:line="259" w:lineRule="auto"/>
        <w:ind w:firstLine="426"/>
        <w:jc w:val="both"/>
        <w:rPr>
          <w:rFonts w:ascii="Arial" w:eastAsia="Arial" w:hAnsi="Arial" w:cs="Arial"/>
        </w:rPr>
      </w:pPr>
      <w:r>
        <w:rPr>
          <w:rFonts w:ascii="Arial" w:eastAsia="Arial" w:hAnsi="Arial" w:cs="Arial"/>
          <w:color w:val="222222"/>
          <w:highlight w:val="white"/>
        </w:rPr>
        <w:t xml:space="preserve">Pel, B. (2014). Intersections in system innovation: </w:t>
      </w:r>
      <w:proofErr w:type="gramStart"/>
      <w:r>
        <w:rPr>
          <w:rFonts w:ascii="Arial" w:eastAsia="Arial" w:hAnsi="Arial" w:cs="Arial"/>
          <w:color w:val="222222"/>
          <w:highlight w:val="white"/>
        </w:rPr>
        <w:t>a</w:t>
      </w:r>
      <w:proofErr w:type="gramEnd"/>
      <w:r>
        <w:rPr>
          <w:rFonts w:ascii="Arial" w:eastAsia="Arial" w:hAnsi="Arial" w:cs="Arial"/>
          <w:color w:val="222222"/>
          <w:highlight w:val="white"/>
        </w:rPr>
        <w:t xml:space="preserve"> nested-case methodology to study co-evolving innovation journeys. </w:t>
      </w:r>
      <w:r>
        <w:rPr>
          <w:rFonts w:ascii="Arial" w:eastAsia="Arial" w:hAnsi="Arial" w:cs="Arial"/>
          <w:i/>
          <w:color w:val="222222"/>
          <w:highlight w:val="white"/>
        </w:rPr>
        <w:t>Technology Analysis &amp; Strategic Management</w:t>
      </w:r>
      <w:r>
        <w:rPr>
          <w:rFonts w:ascii="Arial" w:eastAsia="Arial" w:hAnsi="Arial" w:cs="Arial"/>
          <w:color w:val="222222"/>
          <w:highlight w:val="white"/>
        </w:rPr>
        <w:t xml:space="preserve">, </w:t>
      </w:r>
      <w:r>
        <w:rPr>
          <w:rFonts w:ascii="Arial" w:eastAsia="Arial" w:hAnsi="Arial" w:cs="Arial"/>
          <w:i/>
          <w:color w:val="222222"/>
          <w:highlight w:val="white"/>
        </w:rPr>
        <w:t>26</w:t>
      </w:r>
      <w:r>
        <w:rPr>
          <w:rFonts w:ascii="Arial" w:eastAsia="Arial" w:hAnsi="Arial" w:cs="Arial"/>
          <w:color w:val="222222"/>
          <w:highlight w:val="white"/>
        </w:rPr>
        <w:t>(3), 307-320.</w:t>
      </w:r>
    </w:p>
    <w:p w14:paraId="0E842C10" w14:textId="77777777" w:rsidR="009F00EC" w:rsidRDefault="009F00EC" w:rsidP="009F00EC">
      <w:pPr>
        <w:spacing w:after="160" w:line="259" w:lineRule="auto"/>
        <w:ind w:firstLine="426"/>
        <w:jc w:val="both"/>
        <w:rPr>
          <w:rFonts w:ascii="Arial" w:eastAsia="Arial" w:hAnsi="Arial" w:cs="Arial"/>
          <w:color w:val="222222"/>
          <w:highlight w:val="white"/>
        </w:rPr>
      </w:pPr>
      <w:r w:rsidRPr="00614BBE">
        <w:rPr>
          <w:rFonts w:ascii="Arial" w:eastAsia="Arial" w:hAnsi="Arial" w:cs="Arial"/>
          <w:color w:val="222222"/>
        </w:rPr>
        <w:t>Schot, J., &amp; Kanger, L. (2018). Deep transitions: Emergence, acceleration, stabilization and directionality. Research Policy, 47(6), 1045-1059.</w:t>
      </w:r>
    </w:p>
    <w:p w14:paraId="7F9B1117" w14:textId="77777777" w:rsidR="009F00EC" w:rsidRDefault="009F00EC" w:rsidP="009F00EC">
      <w:pPr>
        <w:spacing w:after="160" w:line="259" w:lineRule="auto"/>
        <w:ind w:firstLine="426"/>
        <w:jc w:val="both"/>
        <w:rPr>
          <w:rFonts w:ascii="Arial" w:eastAsia="Arial" w:hAnsi="Arial" w:cs="Arial"/>
          <w:color w:val="222222"/>
          <w:highlight w:val="white"/>
        </w:rPr>
      </w:pPr>
      <w:r>
        <w:rPr>
          <w:rFonts w:ascii="Arial" w:eastAsia="Arial" w:hAnsi="Arial" w:cs="Arial"/>
          <w:color w:val="222222"/>
          <w:highlight w:val="white"/>
        </w:rPr>
        <w:t>Seawright, J., &amp; Gerring, J. (2008). Case selection techniques in case study research: A menu of qualitative and quantitative options. Political research quarterly, 61(2), 294-308.</w:t>
      </w:r>
    </w:p>
    <w:p w14:paraId="7AEB90CB" w14:textId="77777777" w:rsidR="009F00EC" w:rsidRDefault="009F00EC" w:rsidP="009F00EC">
      <w:pPr>
        <w:spacing w:after="160" w:line="259" w:lineRule="auto"/>
        <w:ind w:firstLine="426"/>
        <w:jc w:val="both"/>
        <w:rPr>
          <w:rFonts w:ascii="Arial" w:eastAsia="Arial" w:hAnsi="Arial" w:cs="Arial"/>
          <w:color w:val="222222"/>
          <w:highlight w:val="white"/>
        </w:rPr>
      </w:pPr>
      <w:r>
        <w:rPr>
          <w:rFonts w:ascii="Arial" w:eastAsia="Arial" w:hAnsi="Arial" w:cs="Arial"/>
          <w:color w:val="222222"/>
          <w:highlight w:val="white"/>
        </w:rPr>
        <w:t xml:space="preserve">Soulé, Bastien (2007). Observation participante ou participation observante? Usages et justifications de la notion de la participation observante en sciences sociales. </w:t>
      </w:r>
      <w:r>
        <w:rPr>
          <w:rFonts w:ascii="Arial" w:eastAsia="Arial" w:hAnsi="Arial" w:cs="Arial"/>
          <w:i/>
          <w:color w:val="222222"/>
          <w:highlight w:val="white"/>
        </w:rPr>
        <w:t>Recherches Qualitatives</w:t>
      </w:r>
      <w:r>
        <w:rPr>
          <w:rFonts w:ascii="Arial" w:eastAsia="Arial" w:hAnsi="Arial" w:cs="Arial"/>
          <w:color w:val="222222"/>
          <w:highlight w:val="white"/>
        </w:rPr>
        <w:t xml:space="preserve"> 27 (2007): 127</w:t>
      </w:r>
      <w:r>
        <w:rPr>
          <w:rFonts w:ascii="Cambria Math" w:eastAsia="Cambria Math" w:hAnsi="Cambria Math" w:cs="Cambria Math"/>
          <w:color w:val="222222"/>
          <w:highlight w:val="white"/>
        </w:rPr>
        <w:t>‑</w:t>
      </w:r>
      <w:r>
        <w:rPr>
          <w:rFonts w:ascii="Arial" w:eastAsia="Arial" w:hAnsi="Arial" w:cs="Arial"/>
          <w:color w:val="222222"/>
          <w:highlight w:val="white"/>
        </w:rPr>
        <w:t>40.</w:t>
      </w:r>
    </w:p>
    <w:p w14:paraId="3A1EBC40" w14:textId="77777777" w:rsidR="009F00EC" w:rsidRDefault="009F00EC" w:rsidP="009F00EC">
      <w:pPr>
        <w:spacing w:after="160" w:line="259" w:lineRule="auto"/>
        <w:ind w:firstLine="426"/>
        <w:jc w:val="both"/>
        <w:rPr>
          <w:rFonts w:ascii="Arial" w:eastAsia="Arial" w:hAnsi="Arial" w:cs="Arial"/>
          <w:color w:val="222222"/>
          <w:highlight w:val="white"/>
        </w:rPr>
      </w:pPr>
      <w:r>
        <w:rPr>
          <w:rFonts w:ascii="Arial" w:eastAsia="Arial" w:hAnsi="Arial" w:cs="Arial"/>
          <w:color w:val="222222"/>
          <w:highlight w:val="white"/>
        </w:rPr>
        <w:t xml:space="preserve">Turnheim, B., Asquith, M., &amp; Geels, F. W. (2020). Making sustainability transitions research policy-relevant: Challenges at the science-policy interface. </w:t>
      </w:r>
      <w:r>
        <w:rPr>
          <w:rFonts w:ascii="Arial" w:eastAsia="Arial" w:hAnsi="Arial" w:cs="Arial"/>
          <w:i/>
          <w:color w:val="222222"/>
          <w:highlight w:val="white"/>
        </w:rPr>
        <w:t>Environmental Innovation and Societal Transitions</w:t>
      </w:r>
      <w:r>
        <w:rPr>
          <w:rFonts w:ascii="Arial" w:eastAsia="Arial" w:hAnsi="Arial" w:cs="Arial"/>
          <w:color w:val="222222"/>
          <w:highlight w:val="white"/>
        </w:rPr>
        <w:t xml:space="preserve">, </w:t>
      </w:r>
      <w:r>
        <w:rPr>
          <w:rFonts w:ascii="Arial" w:eastAsia="Arial" w:hAnsi="Arial" w:cs="Arial"/>
          <w:i/>
          <w:color w:val="222222"/>
          <w:highlight w:val="white"/>
        </w:rPr>
        <w:t>34</w:t>
      </w:r>
      <w:r>
        <w:rPr>
          <w:rFonts w:ascii="Arial" w:eastAsia="Arial" w:hAnsi="Arial" w:cs="Arial"/>
          <w:color w:val="222222"/>
          <w:highlight w:val="white"/>
        </w:rPr>
        <w:t>, 116-120.</w:t>
      </w:r>
    </w:p>
    <w:p w14:paraId="4828AA82" w14:textId="77777777" w:rsidR="009F00EC" w:rsidRDefault="009F00EC" w:rsidP="009F00EC">
      <w:pPr>
        <w:spacing w:after="160" w:line="259" w:lineRule="auto"/>
        <w:ind w:firstLine="426"/>
        <w:jc w:val="both"/>
        <w:rPr>
          <w:rFonts w:ascii="Arial" w:eastAsia="Arial" w:hAnsi="Arial" w:cs="Arial"/>
          <w:color w:val="222222"/>
          <w:highlight w:val="white"/>
        </w:rPr>
      </w:pPr>
      <w:r w:rsidRPr="00614BBE">
        <w:rPr>
          <w:rFonts w:ascii="Arial" w:eastAsia="Arial" w:hAnsi="Arial" w:cs="Arial"/>
          <w:color w:val="222222"/>
        </w:rPr>
        <w:t>Van Driel, H., &amp; Schot, J. (2005). Radical innovation as a multilevel process: introducing floating grain elevators in the port of Rotterdam. Technology and Culture, 46(1), 51-76.</w:t>
      </w:r>
    </w:p>
    <w:p w14:paraId="5B220D19" w14:textId="77777777" w:rsidR="009F00EC" w:rsidRDefault="009F00EC" w:rsidP="009F00EC">
      <w:pPr>
        <w:spacing w:after="160" w:line="259" w:lineRule="auto"/>
        <w:ind w:firstLine="426"/>
        <w:jc w:val="both"/>
        <w:rPr>
          <w:rFonts w:ascii="Arial" w:eastAsia="Arial" w:hAnsi="Arial" w:cs="Arial"/>
          <w:color w:val="222222"/>
          <w:highlight w:val="white"/>
        </w:rPr>
      </w:pPr>
      <w:r>
        <w:rPr>
          <w:rFonts w:ascii="Arial" w:eastAsia="Arial" w:hAnsi="Arial" w:cs="Arial"/>
          <w:color w:val="222222"/>
          <w:highlight w:val="white"/>
        </w:rPr>
        <w:t xml:space="preserve">Yin, Robert K. </w:t>
      </w:r>
      <w:r>
        <w:rPr>
          <w:rFonts w:ascii="Arial" w:eastAsia="Arial" w:hAnsi="Arial" w:cs="Arial"/>
          <w:i/>
          <w:color w:val="222222"/>
          <w:highlight w:val="white"/>
        </w:rPr>
        <w:t>Case Study Research: Design and Methods</w:t>
      </w:r>
      <w:r>
        <w:rPr>
          <w:rFonts w:ascii="Arial" w:eastAsia="Arial" w:hAnsi="Arial" w:cs="Arial"/>
          <w:color w:val="222222"/>
          <w:highlight w:val="white"/>
        </w:rPr>
        <w:t>. SAGE Publications, 2013.</w:t>
      </w:r>
    </w:p>
    <w:p w14:paraId="445D6A0C" w14:textId="77777777" w:rsidR="009F00EC" w:rsidRDefault="009F00EC" w:rsidP="009F00EC">
      <w:pPr>
        <w:spacing w:before="120" w:after="120"/>
        <w:rPr>
          <w:rFonts w:ascii="Arial" w:eastAsia="Arial" w:hAnsi="Arial" w:cs="Arial"/>
          <w:color w:val="000000"/>
          <w:highlight w:val="white"/>
        </w:rPr>
      </w:pPr>
    </w:p>
    <w:sectPr w:rsidR="009F00EC">
      <w:footerReference w:type="defaul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30A8" w14:textId="77777777" w:rsidR="00CE6682" w:rsidRDefault="00CE6682" w:rsidP="007932F1">
      <w:r>
        <w:separator/>
      </w:r>
    </w:p>
  </w:endnote>
  <w:endnote w:type="continuationSeparator" w:id="0">
    <w:p w14:paraId="1B6C9C20" w14:textId="77777777" w:rsidR="00CE6682" w:rsidRDefault="00CE6682" w:rsidP="0079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nd">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1C02" w14:textId="77777777" w:rsidR="009F00EC" w:rsidRDefault="009F00EC">
    <w:pPr>
      <w:pBdr>
        <w:top w:val="nil"/>
        <w:left w:val="nil"/>
        <w:bottom w:val="nil"/>
        <w:right w:val="nil"/>
        <w:between w:val="nil"/>
      </w:pBdr>
      <w:tabs>
        <w:tab w:val="center" w:pos="4536"/>
        <w:tab w:val="right" w:pos="9072"/>
      </w:tabs>
      <w:ind w:left="-1417" w:right="-1417"/>
      <w:jc w:val="center"/>
      <w:rPr>
        <w:color w:val="115868"/>
        <w:sz w:val="15"/>
        <w:szCs w:val="15"/>
      </w:rPr>
    </w:pPr>
    <w:r>
      <w:rPr>
        <w:noProof/>
        <w:color w:val="115868"/>
        <w:sz w:val="15"/>
        <w:szCs w:val="15"/>
        <w:lang w:val="en-GB" w:eastAsia="en-GB"/>
      </w:rPr>
      <w:drawing>
        <wp:inline distT="0" distB="0" distL="0" distR="0" wp14:anchorId="0AE2025C" wp14:editId="1B813E18">
          <wp:extent cx="6768182" cy="600572"/>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8182" cy="600572"/>
                  </a:xfrm>
                  <a:prstGeom prst="rect">
                    <a:avLst/>
                  </a:prstGeom>
                  <a:ln/>
                </pic:spPr>
              </pic:pic>
            </a:graphicData>
          </a:graphic>
        </wp:inline>
      </w:drawing>
    </w:r>
  </w:p>
  <w:p w14:paraId="2A7D5B8F" w14:textId="77777777" w:rsidR="009F00EC" w:rsidRDefault="009F00EC">
    <w:pPr>
      <w:pBdr>
        <w:top w:val="nil"/>
        <w:left w:val="nil"/>
        <w:bottom w:val="nil"/>
        <w:right w:val="nil"/>
        <w:between w:val="nil"/>
      </w:pBdr>
      <w:tabs>
        <w:tab w:val="center" w:pos="4536"/>
        <w:tab w:val="right" w:pos="9072"/>
      </w:tabs>
      <w:spacing w:before="240"/>
      <w:ind w:left="-1418" w:right="-1418"/>
      <w:jc w:val="center"/>
      <w:rPr>
        <w:rFonts w:ascii="Arial" w:eastAsia="Arial" w:hAnsi="Arial" w:cs="Arial"/>
        <w:color w:val="115868"/>
        <w:sz w:val="14"/>
        <w:szCs w:val="14"/>
      </w:rPr>
    </w:pPr>
    <w:r>
      <w:rPr>
        <w:rFonts w:ascii="Arial" w:eastAsia="Arial" w:hAnsi="Arial" w:cs="Arial"/>
        <w:color w:val="115868"/>
        <w:sz w:val="14"/>
        <w:szCs w:val="14"/>
      </w:rPr>
      <w:t xml:space="preserve">This project has received funding from Belspo BRAIN-be 2.0 programme under grant agreement No </w:t>
    </w:r>
    <w:r w:rsidRPr="002A2EC9">
      <w:rPr>
        <w:rFonts w:ascii="Arial" w:eastAsia="Arial" w:hAnsi="Arial" w:cs="Arial"/>
        <w:color w:val="115868"/>
        <w:sz w:val="14"/>
        <w:szCs w:val="14"/>
      </w:rPr>
      <w:t>B2/202/P3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109A" w14:textId="77777777" w:rsidR="009F00EC" w:rsidRDefault="009F00EC">
    <w:pPr>
      <w:pBdr>
        <w:top w:val="nil"/>
        <w:left w:val="nil"/>
        <w:bottom w:val="nil"/>
        <w:right w:val="nil"/>
        <w:between w:val="nil"/>
      </w:pBdr>
      <w:tabs>
        <w:tab w:val="center" w:pos="4536"/>
        <w:tab w:val="right" w:pos="9072"/>
      </w:tabs>
      <w:ind w:left="-1417" w:right="-1417"/>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3FD9" w14:textId="77777777" w:rsidR="006C633D" w:rsidRPr="00E97105" w:rsidRDefault="006C633D" w:rsidP="006C633D">
    <w:pPr>
      <w:pStyle w:val="Footer"/>
      <w:tabs>
        <w:tab w:val="clear" w:pos="9072"/>
      </w:tabs>
      <w:ind w:left="-1417" w:right="-1417"/>
      <w:jc w:val="center"/>
      <w:rPr>
        <w:color w:val="115868"/>
        <w:sz w:val="15"/>
        <w:szCs w:val="15"/>
        <w:lang w:val="en-GB"/>
      </w:rPr>
    </w:pPr>
    <w:r w:rsidRPr="00E97105">
      <w:rPr>
        <w:noProof/>
        <w:color w:val="115868"/>
        <w:sz w:val="15"/>
        <w:szCs w:val="15"/>
        <w:lang w:val="en-GB" w:eastAsia="en-GB"/>
      </w:rPr>
      <w:drawing>
        <wp:inline distT="0" distB="0" distL="0" distR="0" wp14:anchorId="4E1145A9" wp14:editId="72AE8D8B">
          <wp:extent cx="5787569" cy="593725"/>
          <wp:effectExtent l="0" t="0" r="381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5869492" cy="602129"/>
                  </a:xfrm>
                  <a:prstGeom prst="rect">
                    <a:avLst/>
                  </a:prstGeom>
                </pic:spPr>
              </pic:pic>
            </a:graphicData>
          </a:graphic>
        </wp:inline>
      </w:drawing>
    </w:r>
  </w:p>
  <w:p w14:paraId="440244CA" w14:textId="28B34801" w:rsidR="007932F1" w:rsidRPr="00E97105" w:rsidRDefault="007932F1" w:rsidP="006C633D">
    <w:pPr>
      <w:pStyle w:val="Footer"/>
      <w:tabs>
        <w:tab w:val="clear" w:pos="9072"/>
      </w:tabs>
      <w:spacing w:before="240"/>
      <w:ind w:left="-1418" w:right="-1418"/>
      <w:jc w:val="center"/>
      <w:rPr>
        <w:rFonts w:ascii="Arial" w:hAnsi="Arial" w:cs="Arial"/>
        <w:color w:val="115868"/>
        <w:sz w:val="14"/>
        <w:szCs w:val="14"/>
        <w:lang w:val="en-GB"/>
      </w:rPr>
    </w:pPr>
    <w:r w:rsidRPr="00E97105">
      <w:rPr>
        <w:rFonts w:ascii="Arial" w:hAnsi="Arial" w:cs="Arial"/>
        <w:color w:val="115868"/>
        <w:sz w:val="14"/>
        <w:szCs w:val="14"/>
        <w:lang w:val="en-GB"/>
      </w:rPr>
      <w:t>This project has received funding from Belspo</w:t>
    </w:r>
    <w:r w:rsidR="00B17637" w:rsidRPr="00E97105">
      <w:rPr>
        <w:rFonts w:ascii="Arial" w:hAnsi="Arial" w:cs="Arial"/>
        <w:color w:val="115868"/>
        <w:sz w:val="14"/>
        <w:szCs w:val="14"/>
        <w:lang w:val="en-GB"/>
      </w:rPr>
      <w:t xml:space="preserve"> BRAIN-be 2.0 pro</w:t>
    </w:r>
    <w:r w:rsidR="00077E4C">
      <w:rPr>
        <w:rFonts w:ascii="Arial" w:hAnsi="Arial" w:cs="Arial"/>
        <w:color w:val="115868"/>
        <w:sz w:val="14"/>
        <w:szCs w:val="14"/>
        <w:lang w:val="en-GB"/>
      </w:rPr>
      <w:t xml:space="preserve">gramme under grant agreement </w:t>
    </w:r>
    <w:r w:rsidR="00077E4C" w:rsidRPr="00077E4C">
      <w:rPr>
        <w:rFonts w:ascii="Arial" w:hAnsi="Arial" w:cs="Arial"/>
        <w:color w:val="115868"/>
        <w:sz w:val="14"/>
        <w:szCs w:val="14"/>
        <w:lang w:val="en-GB"/>
      </w:rPr>
      <w:t>B2/202/P3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F181" w14:textId="67760420" w:rsidR="006C633D" w:rsidRDefault="006C633D" w:rsidP="006C633D">
    <w:pPr>
      <w:pStyle w:val="Footer"/>
      <w:tabs>
        <w:tab w:val="clear" w:pos="9072"/>
      </w:tabs>
      <w:ind w:left="-1417" w:righ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51591" w14:textId="77777777" w:rsidR="00CE6682" w:rsidRDefault="00CE6682" w:rsidP="007932F1">
      <w:r>
        <w:separator/>
      </w:r>
    </w:p>
  </w:footnote>
  <w:footnote w:type="continuationSeparator" w:id="0">
    <w:p w14:paraId="15A0D46C" w14:textId="77777777" w:rsidR="00CE6682" w:rsidRDefault="00CE6682" w:rsidP="007932F1">
      <w:r>
        <w:continuationSeparator/>
      </w:r>
    </w:p>
  </w:footnote>
  <w:footnote w:id="1">
    <w:p w14:paraId="4F811680" w14:textId="77777777" w:rsidR="009F00EC" w:rsidRDefault="009F00EC" w:rsidP="009F00EC">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This part is not included in the DoW. </w:t>
      </w:r>
    </w:p>
  </w:footnote>
  <w:footnote w:id="2">
    <w:p w14:paraId="26490930" w14:textId="77777777" w:rsidR="009F00EC" w:rsidRDefault="009F00EC" w:rsidP="009F00EC">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This comprises Follow-up committee, case-specific stakeholders, and ultimately the Belgian public at large. </w:t>
      </w:r>
    </w:p>
  </w:footnote>
  <w:footnote w:id="3">
    <w:p w14:paraId="1B357A08" w14:textId="77777777" w:rsidR="009F00EC" w:rsidRDefault="009F00EC" w:rsidP="009F00EC">
      <w:pPr>
        <w:pStyle w:val="FootnoteText"/>
        <w:jc w:val="both"/>
      </w:pPr>
      <w:r>
        <w:rPr>
          <w:rStyle w:val="FootnoteReference"/>
        </w:rPr>
        <w:footnoteRef/>
      </w:r>
      <w:r>
        <w:t xml:space="preserve"> The</w:t>
      </w:r>
      <w:r w:rsidRPr="002C54C5">
        <w:t xml:space="preserve"> </w:t>
      </w:r>
      <w:r>
        <w:t xml:space="preserve">proposals for empirical cases </w:t>
      </w:r>
      <w:r w:rsidRPr="002C54C5">
        <w:t>refer to different units and levels of analysis (circular economy as a sector-transcending kind of transition process or normative position w/r to a desired kind of transition; petrochemical industry as a sector; regions facing economic decline)</w:t>
      </w:r>
    </w:p>
  </w:footnote>
  <w:footnote w:id="4">
    <w:p w14:paraId="6D973B01" w14:textId="77777777" w:rsidR="009F00EC" w:rsidRDefault="009F00EC" w:rsidP="009F00EC">
      <w:pPr>
        <w:jc w:val="both"/>
        <w:rPr>
          <w:sz w:val="20"/>
          <w:szCs w:val="20"/>
        </w:rPr>
      </w:pPr>
      <w:r>
        <w:rPr>
          <w:vertAlign w:val="superscript"/>
        </w:rPr>
        <w:footnoteRef/>
      </w:r>
      <w:r>
        <w:rPr>
          <w:sz w:val="20"/>
          <w:szCs w:val="20"/>
        </w:rPr>
        <w:t xml:space="preserve"> Trade unions, Environmental NGOs, Arbeid en Milieu, Le Forem, Observatoire bruxellois de l’emploi and SERV </w:t>
      </w:r>
    </w:p>
  </w:footnote>
  <w:footnote w:id="5">
    <w:p w14:paraId="5DBF74BF" w14:textId="77777777" w:rsidR="009F00EC" w:rsidRDefault="009F00EC" w:rsidP="009F00EC">
      <w:pPr>
        <w:pStyle w:val="FootnoteText"/>
      </w:pPr>
      <w:r>
        <w:rPr>
          <w:rStyle w:val="FootnoteReference"/>
        </w:rPr>
        <w:footnoteRef/>
      </w:r>
      <w:r>
        <w:t xml:space="preserve"> This refers to </w:t>
      </w:r>
      <w:r w:rsidRPr="007A3D6B">
        <w:t>D</w:t>
      </w:r>
      <w:r>
        <w:t xml:space="preserve">eliverables </w:t>
      </w:r>
      <w:r w:rsidRPr="007A3D6B">
        <w:t>2.3.4</w:t>
      </w:r>
      <w:r>
        <w:t xml:space="preserve"> and 2.4.2</w:t>
      </w:r>
    </w:p>
  </w:footnote>
  <w:footnote w:id="6">
    <w:p w14:paraId="14EEA612" w14:textId="77777777" w:rsidR="009F00EC" w:rsidRPr="00AD1E40" w:rsidRDefault="009F00EC" w:rsidP="009F00EC">
      <w:pPr>
        <w:jc w:val="both"/>
        <w:rPr>
          <w:color w:val="000000" w:themeColor="text1"/>
          <w:sz w:val="20"/>
          <w:szCs w:val="20"/>
          <w:highlight w:val="white"/>
        </w:rPr>
      </w:pPr>
      <w:r w:rsidRPr="00AD1E40">
        <w:rPr>
          <w:color w:val="000000" w:themeColor="text1"/>
          <w:vertAlign w:val="superscript"/>
        </w:rPr>
        <w:footnoteRef/>
      </w:r>
      <w:r w:rsidRPr="00AD1E40">
        <w:rPr>
          <w:color w:val="000000" w:themeColor="text1"/>
          <w:sz w:val="20"/>
          <w:szCs w:val="20"/>
        </w:rPr>
        <w:t xml:space="preserve"> </w:t>
      </w:r>
      <w:r w:rsidRPr="00AD1E40">
        <w:rPr>
          <w:color w:val="000000" w:themeColor="text1"/>
          <w:sz w:val="20"/>
          <w:szCs w:val="20"/>
          <w:highlight w:val="white"/>
        </w:rPr>
        <w:t>Étude de prospective participative sur l’emploi et la formation dans le cadre de la transition vers la neutralité climatique en Belgique à l’horizon 2050</w:t>
      </w:r>
    </w:p>
  </w:footnote>
  <w:footnote w:id="7">
    <w:p w14:paraId="2265BC7C" w14:textId="77777777" w:rsidR="009F00EC" w:rsidRPr="00AD1E40" w:rsidRDefault="009F00EC" w:rsidP="009F00EC">
      <w:pPr>
        <w:pStyle w:val="FootnoteText"/>
        <w:jc w:val="both"/>
        <w:rPr>
          <w:color w:val="000000" w:themeColor="text1"/>
        </w:rPr>
      </w:pPr>
      <w:r w:rsidRPr="00AD1E40">
        <w:rPr>
          <w:rStyle w:val="FootnoteReference"/>
          <w:color w:val="000000" w:themeColor="text1"/>
        </w:rPr>
        <w:footnoteRef/>
      </w:r>
      <w:r w:rsidRPr="00AD1E40">
        <w:rPr>
          <w:color w:val="000000" w:themeColor="text1"/>
        </w:rPr>
        <w:t xml:space="preserve"> For example, it merit consideration what the consequences are of delineating a sector (see Bowker and Star). </w:t>
      </w:r>
      <w:r w:rsidRPr="00AD1E40">
        <w:rPr>
          <w:i/>
          <w:color w:val="000000" w:themeColor="text1"/>
        </w:rPr>
        <w:t>What are we excluding in our future data collection, and why? Do the (future) targeted stakeholders share the same sector category as the researcher? Do the targeted stakeholders feel concerned about the issues, the studied sector? Do they consider the selected sector as important (or why not)?</w:t>
      </w:r>
    </w:p>
  </w:footnote>
  <w:footnote w:id="8">
    <w:p w14:paraId="7DA695A8" w14:textId="77777777" w:rsidR="009F00EC" w:rsidRDefault="009F00EC" w:rsidP="009F00EC">
      <w:pPr>
        <w:pStyle w:val="FootnoteText"/>
      </w:pPr>
      <w:r>
        <w:rPr>
          <w:rStyle w:val="FootnoteReference"/>
        </w:rPr>
        <w:footnoteRef/>
      </w:r>
      <w:r>
        <w:t xml:space="preserve"> The workshops form the linkage with WP7 </w:t>
      </w:r>
      <w:r w:rsidRPr="00C01422">
        <w:t>Valorisation, Dissemination, Exploitation of results</w:t>
      </w:r>
    </w:p>
  </w:footnote>
  <w:footnote w:id="9">
    <w:p w14:paraId="7AC84696" w14:textId="77777777" w:rsidR="009F00EC" w:rsidRPr="00684E58" w:rsidRDefault="009F00EC" w:rsidP="009F00EC">
      <w:pPr>
        <w:pStyle w:val="FootnoteText"/>
        <w:jc w:val="both"/>
        <w:rPr>
          <w:i/>
        </w:rPr>
      </w:pPr>
      <w:r w:rsidRPr="00684E58">
        <w:rPr>
          <w:rStyle w:val="FootnoteReference"/>
          <w:i/>
        </w:rPr>
        <w:footnoteRef/>
      </w:r>
      <w:r w:rsidRPr="00684E58">
        <w:rPr>
          <w:i/>
        </w:rPr>
        <w:t xml:space="preserve"> MB: For the four sectors Agriculture, Construction, Metallurgy and E-commerce, the first three are well-defined in NACE, whereas I wonder about e-commerce. There is a 4-digit category of retail via internet or mail order, but I wonder how much hybrid store/e-commerce (e.g FNAC) would be captured here. </w:t>
      </w:r>
    </w:p>
    <w:p w14:paraId="7048F2BB" w14:textId="77777777" w:rsidR="009F00EC" w:rsidRPr="00684E58" w:rsidRDefault="009F00EC" w:rsidP="009F00EC">
      <w:pPr>
        <w:pStyle w:val="FootnoteText"/>
        <w:jc w:val="both"/>
        <w:rPr>
          <w:i/>
        </w:rPr>
      </w:pPr>
      <w:r w:rsidRPr="00684E58">
        <w:rPr>
          <w:i/>
        </w:rPr>
        <w:t>Maybe in WP3 we could look more broadly at retail (excluding sectors where we do not believe there is a lot of e-commerce - though may be increasingly difficult) and look at to what extent increasing e-commerce is changing employee composition?</w:t>
      </w:r>
    </w:p>
    <w:p w14:paraId="3994F515" w14:textId="77777777" w:rsidR="009F00EC" w:rsidRPr="00684E58" w:rsidRDefault="009F00EC" w:rsidP="009F00EC">
      <w:pPr>
        <w:pStyle w:val="FootnoteText"/>
        <w:jc w:val="both"/>
        <w:rPr>
          <w:i/>
        </w:rPr>
      </w:pPr>
      <w:r w:rsidRPr="00684E58">
        <w:rPr>
          <w:i/>
        </w:rPr>
        <w:t>Metallurgy may be too narrow to overcome privacy concerns related to admin data.</w:t>
      </w:r>
    </w:p>
    <w:p w14:paraId="228AF7EE" w14:textId="77777777" w:rsidR="009F00EC" w:rsidRDefault="009F00EC" w:rsidP="009F00EC">
      <w:pPr>
        <w:pStyle w:val="FootnoteText"/>
        <w:jc w:val="both"/>
      </w:pPr>
      <w:r w:rsidRPr="00684E58">
        <w:rPr>
          <w:i/>
        </w:rPr>
        <w:t>For construction broadly, data would be available. I am still not clear on how detail info we can get on education, but it would be interesting to see if we would see a switch between different trades (e.g. increased demand for electricians).</w:t>
      </w:r>
    </w:p>
  </w:footnote>
  <w:footnote w:id="10">
    <w:p w14:paraId="1314D069" w14:textId="70657BCA" w:rsidR="00E7421D" w:rsidRDefault="00E7421D">
      <w:pPr>
        <w:pStyle w:val="FootnoteText"/>
      </w:pPr>
      <w:r>
        <w:rPr>
          <w:rStyle w:val="FootnoteReference"/>
        </w:rPr>
        <w:footnoteRef/>
      </w:r>
      <w:r>
        <w:t xml:space="preserve"> Whether and how to work along the </w:t>
      </w:r>
      <w:r w:rsidRPr="00E7421D">
        <w:t>NACE categorization</w:t>
      </w:r>
      <w:r>
        <w:t xml:space="preserve"> is a further choice to make for WP3, considering relevance of the categorization as well as the structuring of datasets. </w:t>
      </w:r>
    </w:p>
  </w:footnote>
  <w:footnote w:id="11">
    <w:p w14:paraId="3AE6D1DF" w14:textId="22A32766" w:rsidR="0007199C" w:rsidRDefault="0007199C" w:rsidP="0096219A">
      <w:pPr>
        <w:pStyle w:val="FootnoteText"/>
        <w:jc w:val="both"/>
      </w:pPr>
      <w:r>
        <w:rPr>
          <w:rStyle w:val="FootnoteReference"/>
        </w:rPr>
        <w:footnoteRef/>
      </w:r>
      <w:r>
        <w:t xml:space="preserve"> The definition </w:t>
      </w:r>
      <w:r w:rsidR="0096219A">
        <w:t>of a ‘sector’ has been debated extensively. Their definition</w:t>
      </w:r>
      <w:r w:rsidRPr="0007199C">
        <w:t xml:space="preserve"> </w:t>
      </w:r>
      <w:r w:rsidR="0096219A">
        <w:t xml:space="preserve">along </w:t>
      </w:r>
      <w:r w:rsidRPr="0007199C">
        <w:t xml:space="preserve">the </w:t>
      </w:r>
      <w:r w:rsidR="0096219A">
        <w:t>ETS (</w:t>
      </w:r>
      <w:r w:rsidRPr="0007199C">
        <w:t>E</w:t>
      </w:r>
      <w:r w:rsidR="0096219A">
        <w:t xml:space="preserve">mission </w:t>
      </w:r>
      <w:r w:rsidRPr="0007199C">
        <w:t>T</w:t>
      </w:r>
      <w:r w:rsidR="0096219A">
        <w:t xml:space="preserve">rading </w:t>
      </w:r>
      <w:r w:rsidRPr="0007199C">
        <w:t>S</w:t>
      </w:r>
      <w:r w:rsidR="0096219A">
        <w:t>ystem)</w:t>
      </w:r>
      <w:r w:rsidRPr="0007199C">
        <w:t xml:space="preserve">/non-ETS </w:t>
      </w:r>
      <w:r w:rsidR="0096219A">
        <w:t xml:space="preserve">is of great policy importance, but this defines the matter somewhat one-sidedly in terms of decarbonisation. The NACE categorization was found to be unsuitable for its difficulty to capture recent and future transition processes, but in terms of data availability it remains relevant. Meanwhile, there are the definitions of policy sectors and of sector-level and cross-sectoral sustainability transitions (e.g. </w:t>
      </w:r>
      <w:r w:rsidRPr="0007199C">
        <w:t xml:space="preserve">the VITO website highlights 5 possible cross-sector themes: “sustainable chemistry”, “sustainable land use”, “sustainable health”, “sustainable energy”, “sustainable materials” </w:t>
      </w:r>
      <w:hyperlink r:id="rId1" w:history="1">
        <w:r w:rsidR="0096219A" w:rsidRPr="00C75812">
          <w:rPr>
            <w:rStyle w:val="Hyperlink"/>
          </w:rPr>
          <w:t>https://vito.be/en</w:t>
        </w:r>
      </w:hyperlink>
      <w:r w:rsidR="0096219A">
        <w:t xml:space="preserve"> ). Actors’ understandings of ‘sectors’ are them</w:t>
      </w:r>
      <w:r w:rsidR="003A078E">
        <w:t>selves aspects of labour/decarbo</w:t>
      </w:r>
      <w:r w:rsidR="0096219A">
        <w:t>n</w:t>
      </w:r>
      <w:r w:rsidR="003A078E">
        <w:t>i</w:t>
      </w:r>
      <w:r w:rsidR="0096219A">
        <w:t xml:space="preserve">zation transformation, and are relevant empirical foci for the qualitative analyses of WP2, 4 and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7AB"/>
    <w:multiLevelType w:val="multilevel"/>
    <w:tmpl w:val="E4EA6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B03A1"/>
    <w:multiLevelType w:val="multilevel"/>
    <w:tmpl w:val="E1EC9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B5778B"/>
    <w:multiLevelType w:val="multilevel"/>
    <w:tmpl w:val="9F3C4FE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72F27C7"/>
    <w:multiLevelType w:val="multilevel"/>
    <w:tmpl w:val="5DAAD8E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9D124E3"/>
    <w:multiLevelType w:val="multilevel"/>
    <w:tmpl w:val="8E4437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4D7721"/>
    <w:multiLevelType w:val="multilevel"/>
    <w:tmpl w:val="07187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4F458B"/>
    <w:multiLevelType w:val="hybridMultilevel"/>
    <w:tmpl w:val="4CF822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5607"/>
    <w:multiLevelType w:val="multilevel"/>
    <w:tmpl w:val="237A486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3DD0E39"/>
    <w:multiLevelType w:val="multilevel"/>
    <w:tmpl w:val="829C2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074310"/>
    <w:multiLevelType w:val="multilevel"/>
    <w:tmpl w:val="507AB4B2"/>
    <w:lvl w:ilvl="0">
      <w:start w:val="1"/>
      <w:numFmt w:val="decimal"/>
      <w:lvlText w:val="%1."/>
      <w:lvlJc w:val="left"/>
      <w:pPr>
        <w:ind w:left="1080" w:hanging="720"/>
      </w:pPr>
    </w:lvl>
    <w:lvl w:ilvl="1">
      <w:start w:val="1"/>
      <w:numFmt w:val="decimal"/>
      <w:pStyle w:val="Style1"/>
      <w:lvlText w:val="%1.%2."/>
      <w:lvlJc w:val="left"/>
      <w:pPr>
        <w:ind w:left="1080" w:hanging="720"/>
      </w:pPr>
      <w:rPr>
        <w:color w:val="115868"/>
        <w:sz w:val="28"/>
        <w:szCs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0" w15:restartNumberingAfterBreak="0">
    <w:nsid w:val="58F33CC0"/>
    <w:multiLevelType w:val="hybridMultilevel"/>
    <w:tmpl w:val="C37C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106C7"/>
    <w:multiLevelType w:val="multilevel"/>
    <w:tmpl w:val="3CB09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4332D0"/>
    <w:multiLevelType w:val="multilevel"/>
    <w:tmpl w:val="4064874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E54288B"/>
    <w:multiLevelType w:val="multilevel"/>
    <w:tmpl w:val="1416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9"/>
  </w:num>
  <w:num w:numId="4">
    <w:abstractNumId w:val="8"/>
  </w:num>
  <w:num w:numId="5">
    <w:abstractNumId w:val="13"/>
  </w:num>
  <w:num w:numId="6">
    <w:abstractNumId w:val="2"/>
  </w:num>
  <w:num w:numId="7">
    <w:abstractNumId w:val="11"/>
  </w:num>
  <w:num w:numId="8">
    <w:abstractNumId w:val="1"/>
  </w:num>
  <w:num w:numId="9">
    <w:abstractNumId w:val="7"/>
  </w:num>
  <w:num w:numId="10">
    <w:abstractNumId w:val="12"/>
  </w:num>
  <w:num w:numId="11">
    <w:abstractNumId w:val="3"/>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F1"/>
    <w:rsid w:val="00067DF1"/>
    <w:rsid w:val="0007199C"/>
    <w:rsid w:val="00077E4C"/>
    <w:rsid w:val="00151111"/>
    <w:rsid w:val="001A2B41"/>
    <w:rsid w:val="0028578D"/>
    <w:rsid w:val="002B6F3E"/>
    <w:rsid w:val="003A078E"/>
    <w:rsid w:val="003C0A9D"/>
    <w:rsid w:val="003D1A3B"/>
    <w:rsid w:val="003D45CC"/>
    <w:rsid w:val="003D6D9F"/>
    <w:rsid w:val="00404952"/>
    <w:rsid w:val="00414420"/>
    <w:rsid w:val="00446F0A"/>
    <w:rsid w:val="005B1D30"/>
    <w:rsid w:val="005F3F6C"/>
    <w:rsid w:val="00636AA3"/>
    <w:rsid w:val="006C633D"/>
    <w:rsid w:val="007932F1"/>
    <w:rsid w:val="0096219A"/>
    <w:rsid w:val="009F00EC"/>
    <w:rsid w:val="00A068B9"/>
    <w:rsid w:val="00A74BF6"/>
    <w:rsid w:val="00AA7319"/>
    <w:rsid w:val="00B16381"/>
    <w:rsid w:val="00B17637"/>
    <w:rsid w:val="00C55098"/>
    <w:rsid w:val="00CE6682"/>
    <w:rsid w:val="00CF4601"/>
    <w:rsid w:val="00D311A8"/>
    <w:rsid w:val="00D43822"/>
    <w:rsid w:val="00D46B0D"/>
    <w:rsid w:val="00DA2F95"/>
    <w:rsid w:val="00E7421D"/>
    <w:rsid w:val="00E97105"/>
    <w:rsid w:val="00EC53B8"/>
    <w:rsid w:val="00F254E7"/>
    <w:rsid w:val="00F562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2B442"/>
  <w15:chartTrackingRefBased/>
  <w15:docId w15:val="{12B759D2-D945-F44C-B55C-44E60EE9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63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2B6F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6F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F1"/>
    <w:pPr>
      <w:tabs>
        <w:tab w:val="center" w:pos="4536"/>
        <w:tab w:val="right" w:pos="9072"/>
      </w:tabs>
    </w:pPr>
  </w:style>
  <w:style w:type="character" w:customStyle="1" w:styleId="HeaderChar">
    <w:name w:val="Header Char"/>
    <w:basedOn w:val="DefaultParagraphFont"/>
    <w:link w:val="Header"/>
    <w:uiPriority w:val="99"/>
    <w:rsid w:val="007932F1"/>
  </w:style>
  <w:style w:type="paragraph" w:styleId="Footer">
    <w:name w:val="footer"/>
    <w:basedOn w:val="Normal"/>
    <w:link w:val="FooterChar"/>
    <w:uiPriority w:val="99"/>
    <w:unhideWhenUsed/>
    <w:rsid w:val="007932F1"/>
    <w:pPr>
      <w:tabs>
        <w:tab w:val="center" w:pos="4536"/>
        <w:tab w:val="right" w:pos="9072"/>
      </w:tabs>
    </w:pPr>
  </w:style>
  <w:style w:type="character" w:customStyle="1" w:styleId="FooterChar">
    <w:name w:val="Footer Char"/>
    <w:basedOn w:val="DefaultParagraphFont"/>
    <w:link w:val="Footer"/>
    <w:uiPriority w:val="99"/>
    <w:rsid w:val="007932F1"/>
  </w:style>
  <w:style w:type="character" w:customStyle="1" w:styleId="Heading1Char">
    <w:name w:val="Heading 1 Char"/>
    <w:basedOn w:val="DefaultParagraphFont"/>
    <w:link w:val="Heading1"/>
    <w:uiPriority w:val="9"/>
    <w:rsid w:val="00B17637"/>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DefaultParagraphFont"/>
    <w:rsid w:val="00D311A8"/>
  </w:style>
  <w:style w:type="table" w:styleId="TableGrid">
    <w:name w:val="Table Grid"/>
    <w:basedOn w:val="TableNormal"/>
    <w:uiPriority w:val="39"/>
    <w:rsid w:val="00D31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6F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6F3E"/>
    <w:rPr>
      <w:rFonts w:asciiTheme="majorHAnsi" w:eastAsiaTheme="majorEastAsia" w:hAnsiTheme="majorHAnsi" w:cstheme="majorBidi"/>
      <w:color w:val="1F3763" w:themeColor="accent1" w:themeShade="7F"/>
    </w:rPr>
  </w:style>
  <w:style w:type="paragraph" w:customStyle="1" w:styleId="LAMARTRAHeading1">
    <w:name w:val="LAMARTRA Heading 1"/>
    <w:basedOn w:val="Heading1"/>
    <w:link w:val="LAMARTRAHeading1Char"/>
    <w:qFormat/>
    <w:rsid w:val="00404952"/>
    <w:pPr>
      <w:spacing w:before="240" w:beforeAutospacing="0" w:after="600" w:afterAutospacing="0"/>
    </w:pPr>
    <w:rPr>
      <w:rFonts w:ascii="Hind" w:hAnsi="Hind" w:cs="Hind"/>
      <w:color w:val="115868"/>
      <w:sz w:val="36"/>
      <w:szCs w:val="36"/>
      <w:lang w:val="en-GB"/>
    </w:rPr>
  </w:style>
  <w:style w:type="paragraph" w:customStyle="1" w:styleId="LAMARTRANormaltext">
    <w:name w:val="LAMARTRA Normal text"/>
    <w:basedOn w:val="Normal"/>
    <w:link w:val="LAMARTRANormaltextChar"/>
    <w:qFormat/>
    <w:rsid w:val="00404952"/>
    <w:pPr>
      <w:spacing w:before="120" w:after="120"/>
    </w:pPr>
    <w:rPr>
      <w:rFonts w:ascii="Arial" w:eastAsia="Times New Roman" w:hAnsi="Arial" w:cs="Arial"/>
      <w:color w:val="000000"/>
      <w:shd w:val="clear" w:color="auto" w:fill="FFFFFF"/>
      <w:lang w:val="en-GB" w:eastAsia="fr-FR"/>
    </w:rPr>
  </w:style>
  <w:style w:type="character" w:customStyle="1" w:styleId="LAMARTRAHeading1Char">
    <w:name w:val="LAMARTRA Heading 1 Char"/>
    <w:basedOn w:val="Heading1Char"/>
    <w:link w:val="LAMARTRAHeading1"/>
    <w:rsid w:val="00404952"/>
    <w:rPr>
      <w:rFonts w:ascii="Hind" w:eastAsia="Times New Roman" w:hAnsi="Hind" w:cs="Hind"/>
      <w:b/>
      <w:bCs/>
      <w:color w:val="115868"/>
      <w:kern w:val="36"/>
      <w:sz w:val="36"/>
      <w:szCs w:val="36"/>
      <w:lang w:val="en-GB" w:eastAsia="fr-FR"/>
    </w:rPr>
  </w:style>
  <w:style w:type="paragraph" w:customStyle="1" w:styleId="LAMARTRAHeading2">
    <w:name w:val="LAMARTRA Heading 2"/>
    <w:basedOn w:val="Heading2"/>
    <w:link w:val="LAMARTRAHeading2Char"/>
    <w:qFormat/>
    <w:rsid w:val="00404952"/>
    <w:rPr>
      <w:rFonts w:ascii="Hind" w:eastAsia="Times New Roman" w:hAnsi="Hind"/>
      <w:color w:val="385623" w:themeColor="accent6" w:themeShade="80"/>
      <w:sz w:val="32"/>
      <w:szCs w:val="32"/>
      <w:lang w:val="en-GB" w:eastAsia="fr-FR"/>
    </w:rPr>
  </w:style>
  <w:style w:type="character" w:customStyle="1" w:styleId="LAMARTRANormaltextChar">
    <w:name w:val="LAMARTRA Normal text Char"/>
    <w:basedOn w:val="DefaultParagraphFont"/>
    <w:link w:val="LAMARTRANormaltext"/>
    <w:rsid w:val="00404952"/>
    <w:rPr>
      <w:rFonts w:ascii="Arial" w:eastAsia="Times New Roman" w:hAnsi="Arial" w:cs="Arial"/>
      <w:color w:val="000000"/>
      <w:lang w:val="en-GB" w:eastAsia="fr-FR"/>
    </w:rPr>
  </w:style>
  <w:style w:type="paragraph" w:customStyle="1" w:styleId="LAMARTRAheading3">
    <w:name w:val="LAMARTRA heading 3"/>
    <w:basedOn w:val="Heading3"/>
    <w:link w:val="LAMARTRAheading3Char"/>
    <w:qFormat/>
    <w:rsid w:val="00404952"/>
    <w:rPr>
      <w:rFonts w:ascii="Hind" w:hAnsi="Hind"/>
      <w:color w:val="538135" w:themeColor="accent6" w:themeShade="BF"/>
      <w:sz w:val="28"/>
      <w:szCs w:val="28"/>
      <w:lang w:val="en-GB" w:eastAsia="fr-FR"/>
    </w:rPr>
  </w:style>
  <w:style w:type="character" w:customStyle="1" w:styleId="LAMARTRAHeading2Char">
    <w:name w:val="LAMARTRA Heading 2 Char"/>
    <w:basedOn w:val="Heading2Char"/>
    <w:link w:val="LAMARTRAHeading2"/>
    <w:rsid w:val="00404952"/>
    <w:rPr>
      <w:rFonts w:ascii="Hind" w:eastAsia="Times New Roman" w:hAnsi="Hind" w:cstheme="majorBidi"/>
      <w:color w:val="385623" w:themeColor="accent6" w:themeShade="80"/>
      <w:sz w:val="32"/>
      <w:szCs w:val="32"/>
      <w:lang w:val="en-GB" w:eastAsia="fr-FR"/>
    </w:rPr>
  </w:style>
  <w:style w:type="paragraph" w:customStyle="1" w:styleId="LAMARTRAHeading4">
    <w:name w:val="LAMARTRA Heading 4"/>
    <w:basedOn w:val="Normal"/>
    <w:link w:val="LAMARTRAHeading4Char"/>
    <w:qFormat/>
    <w:rsid w:val="00404952"/>
    <w:rPr>
      <w:color w:val="538135" w:themeColor="accent6" w:themeShade="BF"/>
      <w:lang w:val="en-GB" w:eastAsia="fr-FR"/>
    </w:rPr>
  </w:style>
  <w:style w:type="character" w:customStyle="1" w:styleId="LAMARTRAheading3Char">
    <w:name w:val="LAMARTRA heading 3 Char"/>
    <w:basedOn w:val="Heading3Char"/>
    <w:link w:val="LAMARTRAheading3"/>
    <w:rsid w:val="00404952"/>
    <w:rPr>
      <w:rFonts w:ascii="Hind" w:eastAsiaTheme="majorEastAsia" w:hAnsi="Hind" w:cstheme="majorBidi"/>
      <w:color w:val="538135" w:themeColor="accent6" w:themeShade="BF"/>
      <w:sz w:val="28"/>
      <w:szCs w:val="28"/>
      <w:lang w:val="en-GB" w:eastAsia="fr-FR"/>
    </w:rPr>
  </w:style>
  <w:style w:type="paragraph" w:customStyle="1" w:styleId="LAMARTRATitle">
    <w:name w:val="LAMARTRA Title"/>
    <w:basedOn w:val="Normal"/>
    <w:link w:val="LAMARTRATitleChar"/>
    <w:qFormat/>
    <w:rsid w:val="00404952"/>
    <w:pPr>
      <w:spacing w:before="1440" w:after="240"/>
      <w:jc w:val="center"/>
      <w:outlineLvl w:val="0"/>
    </w:pPr>
    <w:rPr>
      <w:rFonts w:ascii="Hind" w:eastAsia="Times New Roman" w:hAnsi="Hind" w:cs="Hind"/>
      <w:b/>
      <w:bCs/>
      <w:color w:val="115868"/>
      <w:kern w:val="36"/>
      <w:sz w:val="56"/>
      <w:szCs w:val="56"/>
      <w:lang w:val="en-GB" w:eastAsia="fr-FR"/>
    </w:rPr>
  </w:style>
  <w:style w:type="character" w:customStyle="1" w:styleId="LAMARTRAHeading4Char">
    <w:name w:val="LAMARTRA Heading 4 Char"/>
    <w:basedOn w:val="DefaultParagraphFont"/>
    <w:link w:val="LAMARTRAHeading4"/>
    <w:rsid w:val="00404952"/>
    <w:rPr>
      <w:color w:val="538135" w:themeColor="accent6" w:themeShade="BF"/>
      <w:lang w:val="en-GB" w:eastAsia="fr-FR"/>
    </w:rPr>
  </w:style>
  <w:style w:type="character" w:styleId="FootnoteReference">
    <w:name w:val="footnote reference"/>
    <w:basedOn w:val="DefaultParagraphFont"/>
    <w:uiPriority w:val="99"/>
    <w:semiHidden/>
    <w:unhideWhenUsed/>
    <w:rsid w:val="009F00EC"/>
    <w:rPr>
      <w:vertAlign w:val="superscript"/>
    </w:rPr>
  </w:style>
  <w:style w:type="character" w:customStyle="1" w:styleId="LAMARTRATitleChar">
    <w:name w:val="LAMARTRA Title Char"/>
    <w:basedOn w:val="DefaultParagraphFont"/>
    <w:link w:val="LAMARTRATitle"/>
    <w:rsid w:val="00404952"/>
    <w:rPr>
      <w:rFonts w:ascii="Hind" w:eastAsia="Times New Roman" w:hAnsi="Hind" w:cs="Hind"/>
      <w:b/>
      <w:bCs/>
      <w:color w:val="115868"/>
      <w:kern w:val="36"/>
      <w:sz w:val="56"/>
      <w:szCs w:val="56"/>
      <w:lang w:val="en-GB" w:eastAsia="fr-FR"/>
    </w:rPr>
  </w:style>
  <w:style w:type="paragraph" w:styleId="ListParagraph">
    <w:name w:val="List Paragraph"/>
    <w:basedOn w:val="Normal"/>
    <w:uiPriority w:val="34"/>
    <w:qFormat/>
    <w:rsid w:val="009F00EC"/>
    <w:pPr>
      <w:ind w:left="720"/>
      <w:contextualSpacing/>
    </w:pPr>
    <w:rPr>
      <w:rFonts w:ascii="Calibri" w:eastAsia="Calibri" w:hAnsi="Calibri" w:cs="Calibri"/>
      <w:lang w:val="en-GB" w:eastAsia="en-GB"/>
    </w:rPr>
  </w:style>
  <w:style w:type="paragraph" w:styleId="FootnoteText">
    <w:name w:val="footnote text"/>
    <w:basedOn w:val="Normal"/>
    <w:link w:val="FootnoteTextChar"/>
    <w:uiPriority w:val="99"/>
    <w:semiHidden/>
    <w:unhideWhenUsed/>
    <w:rsid w:val="009F00EC"/>
    <w:rPr>
      <w:rFonts w:ascii="Calibri" w:eastAsia="Calibri" w:hAnsi="Calibri" w:cs="Calibri"/>
      <w:sz w:val="20"/>
      <w:szCs w:val="20"/>
      <w:lang w:val="en-GB" w:eastAsia="en-GB"/>
    </w:rPr>
  </w:style>
  <w:style w:type="character" w:customStyle="1" w:styleId="FootnoteTextChar">
    <w:name w:val="Footnote Text Char"/>
    <w:basedOn w:val="DefaultParagraphFont"/>
    <w:link w:val="FootnoteText"/>
    <w:uiPriority w:val="99"/>
    <w:semiHidden/>
    <w:rsid w:val="009F00EC"/>
    <w:rPr>
      <w:rFonts w:ascii="Calibri" w:eastAsia="Calibri" w:hAnsi="Calibri" w:cs="Calibri"/>
      <w:sz w:val="20"/>
      <w:szCs w:val="20"/>
      <w:lang w:val="en-GB" w:eastAsia="en-GB"/>
    </w:rPr>
  </w:style>
  <w:style w:type="paragraph" w:styleId="TOCHeading">
    <w:name w:val="TOC Heading"/>
    <w:basedOn w:val="Heading1"/>
    <w:next w:val="Normal"/>
    <w:uiPriority w:val="39"/>
    <w:unhideWhenUsed/>
    <w:qFormat/>
    <w:rsid w:val="009F00E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9F00EC"/>
    <w:pPr>
      <w:spacing w:after="100"/>
    </w:pPr>
    <w:rPr>
      <w:rFonts w:ascii="Calibri" w:eastAsia="Calibri" w:hAnsi="Calibri" w:cs="Calibri"/>
      <w:lang w:val="en-GB" w:eastAsia="en-GB"/>
    </w:rPr>
  </w:style>
  <w:style w:type="character" w:styleId="Hyperlink">
    <w:name w:val="Hyperlink"/>
    <w:basedOn w:val="DefaultParagraphFont"/>
    <w:uiPriority w:val="99"/>
    <w:unhideWhenUsed/>
    <w:rsid w:val="009F00EC"/>
    <w:rPr>
      <w:color w:val="0563C1" w:themeColor="hyperlink"/>
      <w:u w:val="single"/>
    </w:rPr>
  </w:style>
  <w:style w:type="paragraph" w:styleId="Caption">
    <w:name w:val="caption"/>
    <w:basedOn w:val="Normal"/>
    <w:next w:val="Normal"/>
    <w:uiPriority w:val="35"/>
    <w:unhideWhenUsed/>
    <w:qFormat/>
    <w:rsid w:val="009F00EC"/>
    <w:pPr>
      <w:spacing w:after="200"/>
    </w:pPr>
    <w:rPr>
      <w:rFonts w:ascii="Calibri" w:eastAsia="Calibri" w:hAnsi="Calibri" w:cs="Calibri"/>
      <w:i/>
      <w:iCs/>
      <w:color w:val="44546A" w:themeColor="text2"/>
      <w:sz w:val="18"/>
      <w:szCs w:val="18"/>
      <w:lang w:val="en-GB" w:eastAsia="en-GB"/>
    </w:rPr>
  </w:style>
  <w:style w:type="paragraph" w:styleId="TableofFigures">
    <w:name w:val="table of figures"/>
    <w:basedOn w:val="Normal"/>
    <w:next w:val="Normal"/>
    <w:uiPriority w:val="99"/>
    <w:unhideWhenUsed/>
    <w:rsid w:val="009F00EC"/>
    <w:rPr>
      <w:rFonts w:ascii="Calibri" w:eastAsia="Calibri" w:hAnsi="Calibri" w:cs="Calibri"/>
      <w:lang w:val="en-GB" w:eastAsia="en-GB"/>
    </w:rPr>
  </w:style>
  <w:style w:type="paragraph" w:customStyle="1" w:styleId="Style1">
    <w:name w:val="Style1"/>
    <w:basedOn w:val="Normal"/>
    <w:qFormat/>
    <w:rsid w:val="009F00EC"/>
    <w:pPr>
      <w:numPr>
        <w:ilvl w:val="1"/>
        <w:numId w:val="3"/>
      </w:numPr>
      <w:pBdr>
        <w:top w:val="nil"/>
        <w:left w:val="nil"/>
        <w:bottom w:val="nil"/>
        <w:right w:val="nil"/>
        <w:between w:val="nil"/>
      </w:pBdr>
      <w:spacing w:before="120" w:after="360"/>
      <w:ind w:left="567" w:hanging="567"/>
      <w:jc w:val="both"/>
    </w:pPr>
    <w:rPr>
      <w:rFonts w:ascii="Hind" w:eastAsia="Hind" w:hAnsi="Hind" w:cs="Hind"/>
      <w:b/>
      <w:color w:val="115868"/>
      <w:sz w:val="28"/>
      <w:szCs w:val="28"/>
      <w:lang w:val="en-GB" w:eastAsia="en-GB"/>
    </w:rPr>
  </w:style>
  <w:style w:type="paragraph" w:styleId="TOC2">
    <w:name w:val="toc 2"/>
    <w:basedOn w:val="Normal"/>
    <w:next w:val="Normal"/>
    <w:autoRedefine/>
    <w:uiPriority w:val="39"/>
    <w:unhideWhenUsed/>
    <w:rsid w:val="009F00E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8923">
      <w:bodyDiv w:val="1"/>
      <w:marLeft w:val="0"/>
      <w:marRight w:val="0"/>
      <w:marTop w:val="0"/>
      <w:marBottom w:val="0"/>
      <w:divBdr>
        <w:top w:val="none" w:sz="0" w:space="0" w:color="auto"/>
        <w:left w:val="none" w:sz="0" w:space="0" w:color="auto"/>
        <w:bottom w:val="none" w:sz="0" w:space="0" w:color="auto"/>
        <w:right w:val="none" w:sz="0" w:space="0" w:color="auto"/>
      </w:divBdr>
    </w:div>
    <w:div w:id="264582798">
      <w:bodyDiv w:val="1"/>
      <w:marLeft w:val="0"/>
      <w:marRight w:val="0"/>
      <w:marTop w:val="0"/>
      <w:marBottom w:val="0"/>
      <w:divBdr>
        <w:top w:val="none" w:sz="0" w:space="0" w:color="auto"/>
        <w:left w:val="none" w:sz="0" w:space="0" w:color="auto"/>
        <w:bottom w:val="none" w:sz="0" w:space="0" w:color="auto"/>
        <w:right w:val="none" w:sz="0" w:space="0" w:color="auto"/>
      </w:divBdr>
    </w:div>
    <w:div w:id="412557672">
      <w:bodyDiv w:val="1"/>
      <w:marLeft w:val="0"/>
      <w:marRight w:val="0"/>
      <w:marTop w:val="0"/>
      <w:marBottom w:val="0"/>
      <w:divBdr>
        <w:top w:val="none" w:sz="0" w:space="0" w:color="auto"/>
        <w:left w:val="none" w:sz="0" w:space="0" w:color="auto"/>
        <w:bottom w:val="none" w:sz="0" w:space="0" w:color="auto"/>
        <w:right w:val="none" w:sz="0" w:space="0" w:color="auto"/>
      </w:divBdr>
    </w:div>
    <w:div w:id="941568180">
      <w:bodyDiv w:val="1"/>
      <w:marLeft w:val="0"/>
      <w:marRight w:val="0"/>
      <w:marTop w:val="0"/>
      <w:marBottom w:val="0"/>
      <w:divBdr>
        <w:top w:val="none" w:sz="0" w:space="0" w:color="auto"/>
        <w:left w:val="none" w:sz="0" w:space="0" w:color="auto"/>
        <w:bottom w:val="none" w:sz="0" w:space="0" w:color="auto"/>
        <w:right w:val="none" w:sz="0" w:space="0" w:color="auto"/>
      </w:divBdr>
    </w:div>
    <w:div w:id="1299069843">
      <w:bodyDiv w:val="1"/>
      <w:marLeft w:val="0"/>
      <w:marRight w:val="0"/>
      <w:marTop w:val="0"/>
      <w:marBottom w:val="0"/>
      <w:divBdr>
        <w:top w:val="none" w:sz="0" w:space="0" w:color="auto"/>
        <w:left w:val="none" w:sz="0" w:space="0" w:color="auto"/>
        <w:bottom w:val="none" w:sz="0" w:space="0" w:color="auto"/>
        <w:right w:val="none" w:sz="0" w:space="0" w:color="auto"/>
      </w:divBdr>
    </w:div>
    <w:div w:id="1892577065">
      <w:bodyDiv w:val="1"/>
      <w:marLeft w:val="0"/>
      <w:marRight w:val="0"/>
      <w:marTop w:val="0"/>
      <w:marBottom w:val="0"/>
      <w:divBdr>
        <w:top w:val="none" w:sz="0" w:space="0" w:color="auto"/>
        <w:left w:val="none" w:sz="0" w:space="0" w:color="auto"/>
        <w:bottom w:val="none" w:sz="0" w:space="0" w:color="auto"/>
        <w:right w:val="none" w:sz="0" w:space="0" w:color="auto"/>
      </w:divBdr>
    </w:div>
    <w:div w:id="2004116917">
      <w:bodyDiv w:val="1"/>
      <w:marLeft w:val="0"/>
      <w:marRight w:val="0"/>
      <w:marTop w:val="0"/>
      <w:marBottom w:val="0"/>
      <w:divBdr>
        <w:top w:val="none" w:sz="0" w:space="0" w:color="auto"/>
        <w:left w:val="none" w:sz="0" w:space="0" w:color="auto"/>
        <w:bottom w:val="none" w:sz="0" w:space="0" w:color="auto"/>
        <w:right w:val="none" w:sz="0" w:space="0" w:color="auto"/>
      </w:divBdr>
    </w:div>
    <w:div w:id="20697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016/j.erss.2018.04.029" TargetMode="External"/><Relationship Id="rId18" Type="http://schemas.openxmlformats.org/officeDocument/2006/relationships/hyperlink" Target="https://doi.org/10.1016/j.eist.2019.01.004"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177/0263276420915993" TargetMode="External"/><Relationship Id="rId2" Type="http://schemas.openxmlformats.org/officeDocument/2006/relationships/numbering" Target="numbering.xml"/><Relationship Id="rId16" Type="http://schemas.openxmlformats.org/officeDocument/2006/relationships/hyperlink" Target="https://doi.org/10.1177/1077800405284363" TargetMode="External"/><Relationship Id="rId20" Type="http://schemas.openxmlformats.org/officeDocument/2006/relationships/hyperlink" Target="https://doi.org/10.1177/02704676209328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nieuws/moonshot-vlaanderen-co2-arm-20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1077800405284363"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doi.org/10.1177/027046762093283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16/j.erss.2018.04.029"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vito.be/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3F64-1E75-40BB-A42A-6D783F6E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18</Pages>
  <Words>5671</Words>
  <Characters>32331</Characters>
  <Application>Microsoft Office Word</Application>
  <DocSecurity>0</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FRANSOLET  Aurore</dc:creator>
  <cp:keywords/>
  <dc:description/>
  <cp:lastModifiedBy>bonno pel</cp:lastModifiedBy>
  <cp:revision>13</cp:revision>
  <dcterms:created xsi:type="dcterms:W3CDTF">2022-04-17T10:35:00Z</dcterms:created>
  <dcterms:modified xsi:type="dcterms:W3CDTF">2022-04-25T08:14:00Z</dcterms:modified>
</cp:coreProperties>
</file>